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13C8" w14:textId="77777777" w:rsidR="0053693F" w:rsidRDefault="0053693F" w:rsidP="00764234">
      <w:pPr>
        <w:spacing w:line="360" w:lineRule="auto"/>
      </w:pPr>
    </w:p>
    <w:p w14:paraId="18DFF3E9" w14:textId="77777777" w:rsidR="00343F53" w:rsidRDefault="00343F53" w:rsidP="00764234">
      <w:pPr>
        <w:spacing w:line="360" w:lineRule="auto"/>
      </w:pPr>
    </w:p>
    <w:p w14:paraId="3BFF9A8A" w14:textId="77777777" w:rsidR="00343F53" w:rsidRDefault="00343F53" w:rsidP="00764234">
      <w:pPr>
        <w:spacing w:line="360" w:lineRule="auto"/>
      </w:pPr>
    </w:p>
    <w:p w14:paraId="0FD4BC7F" w14:textId="4F9DE222" w:rsidR="00342056" w:rsidRDefault="009906E7" w:rsidP="00764234">
      <w:pPr>
        <w:spacing w:line="360" w:lineRule="auto"/>
        <w:jc w:val="center"/>
      </w:pPr>
      <w:r>
        <w:t xml:space="preserve">Replicability and reproducibility of predictive models for diagnosis of depression among young adults using </w:t>
      </w:r>
      <w:r w:rsidR="0053693F">
        <w:t>Electronic Health Records</w:t>
      </w:r>
    </w:p>
    <w:p w14:paraId="31D99B44" w14:textId="77777777" w:rsidR="0053693F" w:rsidRDefault="0053693F" w:rsidP="00764234">
      <w:pPr>
        <w:spacing w:line="360" w:lineRule="auto"/>
        <w:jc w:val="center"/>
      </w:pPr>
    </w:p>
    <w:p w14:paraId="04265F17" w14:textId="77777777" w:rsidR="0053693F" w:rsidRDefault="0053693F" w:rsidP="00764234">
      <w:pPr>
        <w:spacing w:line="360" w:lineRule="auto"/>
        <w:jc w:val="center"/>
        <w:rPr>
          <w:vertAlign w:val="superscript"/>
        </w:rPr>
      </w:pPr>
      <w:r>
        <w:t>David Nickson</w:t>
      </w:r>
      <w:r w:rsidRPr="00DD5C99">
        <w:rPr>
          <w:vertAlign w:val="superscript"/>
        </w:rPr>
        <w:t>1</w:t>
      </w:r>
      <w:r>
        <w:t>, H</w:t>
      </w:r>
      <w:r w:rsidRPr="00923300">
        <w:t>enrik Singmann</w:t>
      </w:r>
      <w:r w:rsidRPr="00923300">
        <w:rPr>
          <w:vertAlign w:val="superscript"/>
        </w:rPr>
        <w:t>4</w:t>
      </w:r>
      <w:r>
        <w:t>, Caroline Meyer</w:t>
      </w:r>
      <w:r w:rsidRPr="004E1EE1">
        <w:rPr>
          <w:vertAlign w:val="superscript"/>
        </w:rPr>
        <w:t>2</w:t>
      </w:r>
      <w:r>
        <w:t>, Carla Toro</w:t>
      </w:r>
      <w:r w:rsidRPr="00DD5C99">
        <w:rPr>
          <w:vertAlign w:val="superscript"/>
        </w:rPr>
        <w:t>2</w:t>
      </w:r>
      <w:r>
        <w:t>, Lukasz Walasek</w:t>
      </w:r>
      <w:r>
        <w:rPr>
          <w:vertAlign w:val="superscript"/>
        </w:rPr>
        <w:t>3</w:t>
      </w:r>
    </w:p>
    <w:p w14:paraId="4F1AB199" w14:textId="563240A4" w:rsidR="0053693F" w:rsidRDefault="0053693F" w:rsidP="00764234">
      <w:pPr>
        <w:spacing w:line="360" w:lineRule="auto"/>
        <w:jc w:val="center"/>
      </w:pPr>
      <w:r>
        <w:rPr>
          <w:vertAlign w:val="superscript"/>
        </w:rPr>
        <w:t>1</w:t>
      </w:r>
      <w:r>
        <w:t>WMG, University of Warwick</w:t>
      </w:r>
      <w:r w:rsidR="00B86A14">
        <w:t xml:space="preserve">, </w:t>
      </w:r>
      <w:r w:rsidR="002D74ED" w:rsidRPr="002D74ED">
        <w:t>Coventry</w:t>
      </w:r>
      <w:r w:rsidR="004703D3">
        <w:t xml:space="preserve">, </w:t>
      </w:r>
      <w:r w:rsidR="00B86A14">
        <w:t>United Kingdom.</w:t>
      </w:r>
    </w:p>
    <w:p w14:paraId="251B8980" w14:textId="77777777" w:rsidR="004703D3" w:rsidRDefault="0053693F" w:rsidP="00764234">
      <w:pPr>
        <w:spacing w:line="360" w:lineRule="auto"/>
        <w:jc w:val="center"/>
      </w:pPr>
      <w:r w:rsidRPr="00DD5C99">
        <w:rPr>
          <w:vertAlign w:val="superscript"/>
        </w:rPr>
        <w:t>2</w:t>
      </w:r>
      <w:r w:rsidR="00996901">
        <w:t>Division of Health Sciences, Warwick Medical School</w:t>
      </w:r>
      <w:r>
        <w:t>, University of Warwick</w:t>
      </w:r>
      <w:r w:rsidR="00B86A14">
        <w:t xml:space="preserve">, </w:t>
      </w:r>
    </w:p>
    <w:p w14:paraId="4E1C15EB" w14:textId="3EDAFA94" w:rsidR="0053693F" w:rsidRDefault="002D74ED" w:rsidP="00764234">
      <w:pPr>
        <w:spacing w:line="360" w:lineRule="auto"/>
        <w:jc w:val="center"/>
      </w:pPr>
      <w:r w:rsidRPr="002D74ED">
        <w:t>Coventry</w:t>
      </w:r>
      <w:r w:rsidR="004703D3">
        <w:t xml:space="preserve">, </w:t>
      </w:r>
      <w:r w:rsidR="00B86A14">
        <w:t>United Kingdom.</w:t>
      </w:r>
    </w:p>
    <w:p w14:paraId="2681C252" w14:textId="0F83D49B" w:rsidR="0053693F" w:rsidRDefault="0053693F" w:rsidP="00764234">
      <w:pPr>
        <w:spacing w:line="360" w:lineRule="auto"/>
        <w:jc w:val="center"/>
      </w:pPr>
      <w:r>
        <w:rPr>
          <w:vertAlign w:val="superscript"/>
        </w:rPr>
        <w:t>3</w:t>
      </w:r>
      <w:r>
        <w:t>Department of Psychology, University of Warwick</w:t>
      </w:r>
      <w:r w:rsidR="00B86A14">
        <w:t xml:space="preserve">, </w:t>
      </w:r>
      <w:r w:rsidR="002D74ED" w:rsidRPr="002D74ED">
        <w:t>Coventry</w:t>
      </w:r>
      <w:r w:rsidR="004703D3">
        <w:t xml:space="preserve">, </w:t>
      </w:r>
      <w:r w:rsidR="00B86A14">
        <w:t>United Kingdom.</w:t>
      </w:r>
    </w:p>
    <w:p w14:paraId="5B08977C" w14:textId="1349EBB8" w:rsidR="0053693F" w:rsidRDefault="0053693F" w:rsidP="00764234">
      <w:pPr>
        <w:spacing w:line="360" w:lineRule="auto"/>
        <w:jc w:val="center"/>
      </w:pPr>
      <w:r>
        <w:rPr>
          <w:vertAlign w:val="superscript"/>
        </w:rPr>
        <w:t>4</w:t>
      </w:r>
      <w:r>
        <w:t>Department of E</w:t>
      </w:r>
      <w:r w:rsidRPr="001204D9">
        <w:t>xperimental</w:t>
      </w:r>
      <w:r>
        <w:rPr>
          <w:vertAlign w:val="superscript"/>
        </w:rPr>
        <w:t xml:space="preserve"> </w:t>
      </w:r>
      <w:r>
        <w:t>Psychology, University College London</w:t>
      </w:r>
      <w:r w:rsidR="00B86A14">
        <w:t xml:space="preserve">, </w:t>
      </w:r>
      <w:r w:rsidR="004703D3">
        <w:t xml:space="preserve">London, </w:t>
      </w:r>
      <w:r w:rsidR="00B86A14">
        <w:t>United Kingdom.</w:t>
      </w:r>
    </w:p>
    <w:p w14:paraId="73A845C3" w14:textId="24DC4BB8" w:rsidR="0053693F" w:rsidRDefault="0053693F" w:rsidP="00764234">
      <w:pPr>
        <w:spacing w:line="360" w:lineRule="auto"/>
      </w:pPr>
    </w:p>
    <w:p w14:paraId="19894241" w14:textId="77777777" w:rsidR="0053693F" w:rsidRDefault="0053693F" w:rsidP="00764234">
      <w:pPr>
        <w:spacing w:line="360" w:lineRule="auto"/>
      </w:pPr>
      <w:r>
        <w:t>Author Notes</w:t>
      </w:r>
    </w:p>
    <w:p w14:paraId="41BF6731" w14:textId="77777777" w:rsidR="0053693F" w:rsidRDefault="0053693F" w:rsidP="00764234">
      <w:pPr>
        <w:spacing w:line="360" w:lineRule="auto"/>
        <w:rPr>
          <w:color w:val="1155CC"/>
          <w:u w:val="single"/>
        </w:rPr>
      </w:pPr>
      <w:r>
        <w:t xml:space="preserve">David Nickson </w:t>
      </w:r>
      <w:hyperlink r:id="rId8" w:history="1">
        <w:r w:rsidRPr="00B4063C">
          <w:rPr>
            <w:color w:val="1155CC"/>
          </w:rPr>
          <w:t>https://orcid.org/0000-0003-1995-224X</w:t>
        </w:r>
      </w:hyperlink>
    </w:p>
    <w:p w14:paraId="66E6A9C0" w14:textId="77777777" w:rsidR="0053693F" w:rsidRPr="007C0A72" w:rsidRDefault="0053693F" w:rsidP="00764234">
      <w:pPr>
        <w:spacing w:line="360" w:lineRule="auto"/>
        <w:rPr>
          <w:color w:val="1155CC"/>
          <w:u w:val="single"/>
          <w:lang w:val="de-CH"/>
        </w:rPr>
      </w:pPr>
      <w:r w:rsidRPr="00EC4532">
        <w:rPr>
          <w:lang w:val="de-CH"/>
        </w:rPr>
        <w:t xml:space="preserve">Henrik Singmann </w:t>
      </w:r>
      <w:hyperlink r:id="rId9" w:history="1">
        <w:r w:rsidRPr="007C0A72">
          <w:rPr>
            <w:color w:val="1155CC"/>
            <w:lang w:val="de-CH"/>
          </w:rPr>
          <w:t>https://orcid.org/0000-0002-4842-3657</w:t>
        </w:r>
      </w:hyperlink>
      <w:r w:rsidRPr="007C0A72">
        <w:rPr>
          <w:color w:val="1155CC"/>
          <w:u w:val="single"/>
          <w:lang w:val="de-CH"/>
        </w:rPr>
        <w:t xml:space="preserve"> </w:t>
      </w:r>
    </w:p>
    <w:p w14:paraId="3A0B1A9E" w14:textId="77777777" w:rsidR="0053693F" w:rsidRPr="007D038B" w:rsidRDefault="0053693F" w:rsidP="00764234">
      <w:pPr>
        <w:spacing w:line="360" w:lineRule="auto"/>
        <w:rPr>
          <w:color w:val="1155CC"/>
          <w:u w:val="single"/>
          <w:lang w:val="it-IT"/>
        </w:rPr>
      </w:pPr>
      <w:r w:rsidRPr="007D038B">
        <w:rPr>
          <w:lang w:val="it-IT"/>
        </w:rPr>
        <w:t xml:space="preserve">Caroline Meyer </w:t>
      </w:r>
      <w:hyperlink r:id="rId10" w:history="1">
        <w:r w:rsidRPr="007D038B">
          <w:rPr>
            <w:color w:val="1155CC"/>
            <w:lang w:val="it-IT"/>
          </w:rPr>
          <w:t>https://orcid.org/0000-0003-0684-299X</w:t>
        </w:r>
      </w:hyperlink>
    </w:p>
    <w:p w14:paraId="57090081" w14:textId="5CCC8DC5" w:rsidR="0053693F" w:rsidRPr="001F7DF9" w:rsidRDefault="0053693F" w:rsidP="00764234">
      <w:pPr>
        <w:spacing w:line="360" w:lineRule="auto"/>
        <w:rPr>
          <w:lang w:val="pl-PL"/>
        </w:rPr>
      </w:pPr>
      <w:r w:rsidRPr="003E5900">
        <w:rPr>
          <w:lang w:val="pl-PL"/>
        </w:rPr>
        <w:t xml:space="preserve">Carla Toro </w:t>
      </w:r>
      <w:r w:rsidR="00511D5E" w:rsidRPr="00511D5E">
        <w:rPr>
          <w:lang w:val="pl-PL"/>
        </w:rPr>
        <w:fldChar w:fldCharType="begin"/>
      </w:r>
      <w:r w:rsidR="00511D5E" w:rsidRPr="00511D5E">
        <w:rPr>
          <w:lang w:val="pl-PL"/>
        </w:rPr>
        <w:instrText>HYPERLINK "https://orcid.org/0000-0001-6351-1340"</w:instrText>
      </w:r>
      <w:r w:rsidR="00511D5E" w:rsidRPr="00511D5E">
        <w:rPr>
          <w:lang w:val="pl-PL"/>
        </w:rPr>
      </w:r>
      <w:r w:rsidR="00511D5E" w:rsidRPr="00511D5E">
        <w:rPr>
          <w:lang w:val="pl-PL"/>
        </w:rPr>
        <w:fldChar w:fldCharType="separate"/>
      </w:r>
      <w:r w:rsidR="00511D5E" w:rsidRPr="00511D5E">
        <w:rPr>
          <w:rStyle w:val="Hyperlink"/>
          <w:u w:val="none"/>
          <w:lang w:val="pl-PL"/>
        </w:rPr>
        <w:t>https://orcid.org/0000-0001-6351-1340</w:t>
      </w:r>
      <w:r w:rsidR="00511D5E" w:rsidRPr="00511D5E">
        <w:rPr>
          <w:lang w:val="pl-PL"/>
        </w:rPr>
        <w:fldChar w:fldCharType="end"/>
      </w:r>
      <w:r w:rsidR="00511D5E">
        <w:rPr>
          <w:lang w:val="pl-PL"/>
        </w:rPr>
        <w:t xml:space="preserve"> </w:t>
      </w:r>
    </w:p>
    <w:p w14:paraId="0F653E4A" w14:textId="307C6B96" w:rsidR="0053693F" w:rsidRPr="001F7DF9" w:rsidRDefault="0053693F" w:rsidP="00764234">
      <w:pPr>
        <w:spacing w:line="360" w:lineRule="auto"/>
        <w:rPr>
          <w:color w:val="1155CC"/>
          <w:lang w:val="it-IT"/>
        </w:rPr>
      </w:pPr>
      <w:r>
        <w:rPr>
          <w:lang w:val="pl-PL"/>
        </w:rPr>
        <w:t xml:space="preserve">Lukasz Walasek </w:t>
      </w:r>
      <w:bookmarkStart w:id="0" w:name="_Hlk138422426"/>
      <w:r w:rsidR="001F7DF9" w:rsidRPr="001F7DF9">
        <w:rPr>
          <w:color w:val="1155CC"/>
          <w:lang w:val="it-IT"/>
        </w:rPr>
        <w:fldChar w:fldCharType="begin"/>
      </w:r>
      <w:r w:rsidR="001F7DF9" w:rsidRPr="001F7DF9">
        <w:rPr>
          <w:color w:val="1155CC"/>
          <w:lang w:val="it-IT"/>
        </w:rPr>
        <w:instrText>HYPERLINK "https://orcid.org/0000-0002-7360-0037"</w:instrText>
      </w:r>
      <w:r w:rsidR="001F7DF9" w:rsidRPr="001F7DF9">
        <w:rPr>
          <w:color w:val="1155CC"/>
          <w:lang w:val="it-IT"/>
        </w:rPr>
      </w:r>
      <w:r w:rsidR="001F7DF9" w:rsidRPr="001F7DF9">
        <w:rPr>
          <w:color w:val="1155CC"/>
          <w:lang w:val="it-IT"/>
        </w:rPr>
        <w:fldChar w:fldCharType="separate"/>
      </w:r>
      <w:r w:rsidR="001F7DF9" w:rsidRPr="001F7DF9">
        <w:rPr>
          <w:rStyle w:val="Hyperlink"/>
          <w:u w:val="none"/>
          <w:lang w:val="it-IT"/>
        </w:rPr>
        <w:t>https://orcid.org/0000-0002-7360-0037</w:t>
      </w:r>
      <w:r w:rsidR="001F7DF9" w:rsidRPr="001F7DF9">
        <w:rPr>
          <w:color w:val="1155CC"/>
          <w:lang w:val="it-IT"/>
        </w:rPr>
        <w:fldChar w:fldCharType="end"/>
      </w:r>
      <w:r w:rsidR="001F7DF9">
        <w:rPr>
          <w:color w:val="1155CC"/>
          <w:lang w:val="it-IT"/>
        </w:rPr>
        <w:t xml:space="preserve"> </w:t>
      </w:r>
    </w:p>
    <w:bookmarkEnd w:id="0"/>
    <w:p w14:paraId="3A13662A" w14:textId="77777777" w:rsidR="0053693F" w:rsidRPr="001018F8" w:rsidRDefault="0053693F" w:rsidP="00764234">
      <w:pPr>
        <w:spacing w:line="360" w:lineRule="auto"/>
        <w:rPr>
          <w:lang w:val="pl-PL"/>
        </w:rPr>
      </w:pPr>
    </w:p>
    <w:p w14:paraId="15432576" w14:textId="77777777" w:rsidR="0053693F" w:rsidRDefault="0053693F" w:rsidP="00764234">
      <w:pPr>
        <w:spacing w:line="360" w:lineRule="auto"/>
      </w:pPr>
      <w:r>
        <w:t>We have no conflict of interest to disclose.</w:t>
      </w:r>
    </w:p>
    <w:p w14:paraId="4C00EF4A" w14:textId="3A2527EC" w:rsidR="0053693F" w:rsidRDefault="0053693F" w:rsidP="00764234">
      <w:pPr>
        <w:spacing w:line="360" w:lineRule="auto"/>
      </w:pPr>
      <w:r w:rsidRPr="007C4864">
        <w:t xml:space="preserve">Correspondence concerning this article should be addressed to David Nickson, WMG, University of Warwick, Coventry, CV4 7AL. Email: </w:t>
      </w:r>
      <w:hyperlink r:id="rId11" w:history="1">
        <w:r w:rsidR="00F75D1E" w:rsidRPr="00DE4E9F">
          <w:rPr>
            <w:rStyle w:val="Hyperlink"/>
          </w:rPr>
          <w:t>david.nickson@warwick.ac.uk</w:t>
        </w:r>
      </w:hyperlink>
      <w:r w:rsidR="00744D0F">
        <w:t xml:space="preserve"> </w:t>
      </w:r>
      <w:r w:rsidRPr="007C4864">
        <w:t xml:space="preserve">, </w:t>
      </w:r>
      <w:hyperlink r:id="rId12" w:history="1">
        <w:r w:rsidRPr="00D2380D">
          <w:rPr>
            <w:rStyle w:val="Hyperlink"/>
          </w:rPr>
          <w:t>david@davidnickson.com</w:t>
        </w:r>
      </w:hyperlink>
    </w:p>
    <w:p w14:paraId="5AE8D867" w14:textId="254EDDEE" w:rsidR="0053693F" w:rsidRDefault="0053693F" w:rsidP="00764234"/>
    <w:p w14:paraId="0FB0CD73" w14:textId="77777777" w:rsidR="00AC50DF" w:rsidRDefault="00AC50DF" w:rsidP="00764234"/>
    <w:p w14:paraId="31C2BE30" w14:textId="77777777" w:rsidR="0053693F" w:rsidRPr="008672A4" w:rsidRDefault="0053693F" w:rsidP="00764234">
      <w:pPr>
        <w:pStyle w:val="Heading1"/>
      </w:pPr>
      <w:r w:rsidRPr="008672A4">
        <w:lastRenderedPageBreak/>
        <w:t>Abstract</w:t>
      </w:r>
    </w:p>
    <w:p w14:paraId="08AA5972" w14:textId="77777777" w:rsidR="004703D3" w:rsidRDefault="004703D3" w:rsidP="00764234">
      <w:pPr>
        <w:rPr>
          <w:b/>
          <w:bCs/>
        </w:rPr>
      </w:pPr>
    </w:p>
    <w:p w14:paraId="3A00632D" w14:textId="6807A74E" w:rsidR="00E01C69" w:rsidRPr="00764234" w:rsidRDefault="00E01C69" w:rsidP="00764234">
      <w:pPr>
        <w:rPr>
          <w:b/>
          <w:bCs/>
        </w:rPr>
      </w:pPr>
      <w:r w:rsidRPr="00764234">
        <w:rPr>
          <w:b/>
          <w:bCs/>
        </w:rPr>
        <w:t>Background</w:t>
      </w:r>
    </w:p>
    <w:p w14:paraId="3BE99B67" w14:textId="77777777" w:rsidR="00E01C69" w:rsidRPr="00764234" w:rsidRDefault="00E01C69" w:rsidP="00764234">
      <w:r w:rsidRPr="00764234">
        <w:t xml:space="preserve">Recent advances in machine learning combined with the growing availability of digitized health records offer new opportunities for improving early diagnosis of depression. An emerging body of research shows that Electronic Health Records can be used to accurately predict cases of depression </w:t>
      </w:r>
      <w:proofErr w:type="gramStart"/>
      <w:r w:rsidRPr="00764234">
        <w:t>on the basis of</w:t>
      </w:r>
      <w:proofErr w:type="gramEnd"/>
      <w:r w:rsidRPr="00764234">
        <w:t xml:space="preserve"> individual’s primary care records. The successes of these studies are undeniable, but there is a growing concern that their results may not be replicable, which could cast doubt on their clinical usefulness.</w:t>
      </w:r>
    </w:p>
    <w:p w14:paraId="0BFB8108" w14:textId="77777777" w:rsidR="00E01C69" w:rsidRPr="00764234" w:rsidRDefault="00E01C69" w:rsidP="00764234">
      <w:pPr>
        <w:rPr>
          <w:b/>
          <w:bCs/>
        </w:rPr>
      </w:pPr>
      <w:r w:rsidRPr="00764234">
        <w:rPr>
          <w:b/>
          <w:bCs/>
        </w:rPr>
        <w:t>Methods</w:t>
      </w:r>
    </w:p>
    <w:p w14:paraId="4A91D5BD" w14:textId="09EF6D3E" w:rsidR="00E01C69" w:rsidRDefault="00E01C69" w:rsidP="00764234">
      <w:r>
        <w:t xml:space="preserve">To address this issue in the present paper, we set out to reproduce and replicate the work by Nichols et al. (2018), who trained predictive models of depression among young adults using Electronic Healthcare Records. Our contribution consists of three parts. First, we attempt to replicate the methodology used by the original authors, </w:t>
      </w:r>
      <w:r w:rsidR="007D038B" w:rsidRPr="00393AEC">
        <w:rPr>
          <w:color w:val="0070C0"/>
        </w:rPr>
        <w:t>acquiring a more up to date set of primary health care records to the same specification</w:t>
      </w:r>
      <w:r w:rsidR="007D038B">
        <w:t xml:space="preserve"> </w:t>
      </w:r>
      <w:r>
        <w:t xml:space="preserve">and reproducing their data processing and analysis. Second, we test models presented in the original paper on our own data, thus providing out of sample prediction of the predictive models. Third, we extend past work by considering several novel machine learning approaches </w:t>
      </w:r>
      <w:proofErr w:type="gramStart"/>
      <w:r>
        <w:t>in an attempt to</w:t>
      </w:r>
      <w:proofErr w:type="gramEnd"/>
      <w:r>
        <w:t xml:space="preserve"> improve the predictive accuracy achieved in the original work.</w:t>
      </w:r>
    </w:p>
    <w:p w14:paraId="57C19896" w14:textId="77777777" w:rsidR="00E01C69" w:rsidRPr="00764234" w:rsidRDefault="00E01C69" w:rsidP="00764234">
      <w:pPr>
        <w:rPr>
          <w:b/>
          <w:bCs/>
        </w:rPr>
      </w:pPr>
      <w:r w:rsidRPr="00764234">
        <w:rPr>
          <w:b/>
          <w:bCs/>
        </w:rPr>
        <w:t>Results</w:t>
      </w:r>
    </w:p>
    <w:p w14:paraId="3907A608" w14:textId="77777777" w:rsidR="00E01C69" w:rsidRDefault="00E01C69" w:rsidP="00764234">
      <w:r>
        <w:t xml:space="preserve">In summary, our results demonstrate that the work of Nichols et al. is largely reproducible and replicable. This was the case both for the replication of the original model and the out of sample replication applying NRCBM coefficients to our new EHRs data. Although alternative predictive models did not improve model performance over standard logistic regression, our results indicate that stepwise variable selection is not stable even in the case of large data sets. </w:t>
      </w:r>
    </w:p>
    <w:p w14:paraId="75795E30" w14:textId="77777777" w:rsidR="00E01C69" w:rsidRPr="00764234" w:rsidRDefault="00E01C69" w:rsidP="00764234">
      <w:pPr>
        <w:rPr>
          <w:b/>
          <w:bCs/>
        </w:rPr>
      </w:pPr>
      <w:r w:rsidRPr="00764234">
        <w:rPr>
          <w:b/>
          <w:bCs/>
        </w:rPr>
        <w:lastRenderedPageBreak/>
        <w:t>Conclusion</w:t>
      </w:r>
    </w:p>
    <w:p w14:paraId="4794A2A8" w14:textId="77777777" w:rsidR="00E01C69" w:rsidRDefault="00E01C69" w:rsidP="00764234">
      <w:r>
        <w:t>We discuss the challenges associated with the research on mental health and Electronic Health Records, including the need to produce interpretable and robust models. We demonstrated some potential issues associated with the reliance on EHRs, including changes in the regulations and guidelines (such as the QOF guidelines in the UK) and reliance on visits to GP as a predictor of specific disorders.</w:t>
      </w:r>
    </w:p>
    <w:p w14:paraId="01630E2E" w14:textId="6A43D6CF" w:rsidR="00A407CD" w:rsidRDefault="006E7F60" w:rsidP="00764234">
      <w:r w:rsidRPr="005F2D98">
        <w:rPr>
          <w:b/>
        </w:rPr>
        <w:t>Keywords:</w:t>
      </w:r>
      <w:r>
        <w:t xml:space="preserve"> depression, electronic health records, machine learning, predictive modelling, replicability, reproducibility</w:t>
      </w:r>
    </w:p>
    <w:p w14:paraId="5023B993" w14:textId="0CC6790A" w:rsidR="00A407CD" w:rsidRDefault="00A407CD" w:rsidP="00764234"/>
    <w:p w14:paraId="63B00C6A" w14:textId="77777777" w:rsidR="00AC50DF" w:rsidRDefault="00AC50DF" w:rsidP="00764234"/>
    <w:p w14:paraId="6F9E056B" w14:textId="77777777" w:rsidR="00AC50DF" w:rsidRDefault="00AC50DF" w:rsidP="00764234"/>
    <w:p w14:paraId="47D80923" w14:textId="77777777" w:rsidR="00AC50DF" w:rsidRDefault="00AC50DF" w:rsidP="00764234"/>
    <w:p w14:paraId="3F3DFA1C" w14:textId="77777777" w:rsidR="00AC50DF" w:rsidRDefault="00AC50DF" w:rsidP="00764234"/>
    <w:p w14:paraId="6886BC25" w14:textId="77777777" w:rsidR="00AC50DF" w:rsidRDefault="00AC50DF" w:rsidP="00764234"/>
    <w:p w14:paraId="7F3C5091" w14:textId="77777777" w:rsidR="00AC50DF" w:rsidRDefault="00AC50DF" w:rsidP="00764234"/>
    <w:p w14:paraId="514D32B2" w14:textId="77777777" w:rsidR="00764234" w:rsidRDefault="00764234" w:rsidP="00764234"/>
    <w:p w14:paraId="7BC00A2C" w14:textId="77777777" w:rsidR="00764234" w:rsidRDefault="00764234" w:rsidP="00764234"/>
    <w:p w14:paraId="41BDEBAB" w14:textId="77777777" w:rsidR="00764234" w:rsidRDefault="00764234" w:rsidP="00764234"/>
    <w:p w14:paraId="5895BD57" w14:textId="77777777" w:rsidR="00764234" w:rsidRDefault="00764234" w:rsidP="00764234"/>
    <w:p w14:paraId="67ED279C" w14:textId="77777777" w:rsidR="00764234" w:rsidRDefault="00764234" w:rsidP="00764234"/>
    <w:p w14:paraId="243112BB" w14:textId="77777777" w:rsidR="00764234" w:rsidRDefault="00764234" w:rsidP="00764234"/>
    <w:p w14:paraId="466C9E2B" w14:textId="61FA67DD" w:rsidR="008672A4" w:rsidRDefault="00AF232E" w:rsidP="00764234">
      <w:pPr>
        <w:pStyle w:val="Heading1"/>
      </w:pPr>
      <w:r>
        <w:lastRenderedPageBreak/>
        <w:t>Background</w:t>
      </w:r>
    </w:p>
    <w:p w14:paraId="05932575" w14:textId="033F59B0" w:rsidR="00C23498" w:rsidRDefault="00A407CD" w:rsidP="00764234">
      <w:r w:rsidRPr="0091599C">
        <w:t xml:space="preserve">With </w:t>
      </w:r>
      <w:r w:rsidR="0001574B">
        <w:t>a</w:t>
      </w:r>
      <w:r w:rsidR="0001574B" w:rsidRPr="0091599C">
        <w:t xml:space="preserve"> </w:t>
      </w:r>
      <w:r w:rsidRPr="0091599C">
        <w:t>lifetime</w:t>
      </w:r>
      <w:r>
        <w:t xml:space="preserve"> prevalence of 20% across all ages, depressive disorders are </w:t>
      </w:r>
      <w:r w:rsidR="00BD790E">
        <w:t xml:space="preserve">now </w:t>
      </w:r>
      <w:r>
        <w:t xml:space="preserve">among the most common mental health conditions </w:t>
      </w:r>
      <w:bookmarkStart w:id="1" w:name="_Hlk85029245"/>
      <w:r w:rsidR="0057468F">
        <w:fldChar w:fldCharType="begin"/>
      </w:r>
      <w:r w:rsidR="006F2576">
        <w:instrText xml:space="preserve"> ADDIN ZOTERO_ITEM CSL_CITATION {"citationID":"KiWzOFbN","properties":{"formattedCitation":"(1\\uc0\\u8211{}3)","plainCitation":"(1–3)","noteIndex":0},"citationItems":[{"id":904,"uris":["http://zotero.org/users/5225066/items/4YCBXWFQ"],"itemData":{"id":904,"type":"article-journal","abstract":"No US national data are available on the prevalence and correlates of DSM-5–defined major depressive disorder (MDD) or on MDD specifiers as defined in DSM-5.To present current nationally representative findings on the prevalence, correlates, psychiatric comorbidity, functioning, and treatment of DSM-5 MDD and initial information on the prevalence, severity, and treatment of DSM-5 MDD severity, anxious/distressed specifier, and mixed-features specifier, as well as cases that would have been characterized as bereavement in DSM-IV.In-person interviews with a representative sample of US noninstitutionalized civilian adults (≥18 years) (n = 36 309) who participated in the 2012-2013 National Epidemiologic Survey on Alcohol and Related Conditions III (NESARC-III). Data were collected from April 2012 to June 2013 and were analyzed in 2016-2017.Prevalence of DSM-5 MDD and the DSM-5 specifiers. Odds ratios (ORs), adjusted ORs (aORs), and 95% CIs indicated associations with demographic characteristics and other psychiatric disorders.Of the 36 309 adult participants in NESARC-III, 12-month and lifetime prevalences of MDD were 10.4% and 20.6%, respectively. Odds of 12-month MDD were significantly lower in men (OR, 0.5; 95% CI, 0.46-0.55) and in African American (OR, 0.6; 95% CI, 0.54-0.68), Asian/Pacific Islander (OR, 0.6; 95% CI, 0.45-0.67), and Hispanic (OR, 0.7; 95% CI, 0.62-0.78) adults than in white adults and were higher in younger adults (age range, 18-29 years; OR, 3.0; 95% CI, 2.48-3.55) and those with low incomes ($19 999 or less; OR, 1.7; 95% CI, 1.49-2.04). Associations of MDD with psychiatric disorders ranged from an aOR of 2.1 (95% CI, 1.84-2.35) for specific phobia to an aOR of 5.7 (95% CI, 4.98-6.50) for generalized anxiety disorder. Associations of MDD with substance use disorders ranged from an aOR of 1.8 (95% CI, 1.63-2.01) for alcohol to an aOR of 3.0 (95% CI, 2.57-3.55) for any drug. Most lifetime MDD cases were moderate (39.7%) or severe (49.5%). Almost 70% with lifetime MDD had some type of treatment. Functioning among those with severe MDD was approximately 1 SD below the national mean. Among 12.9% of those with lifetime MDD, all episodes occurred just after the death of someone close and lasted less than 2 months. The anxious/distressed specifier characterized 74.6% of MDD cases, and the mixed-features specifier characterized 15.5%. Controlling for severity, both specifiers were associated with early onset, poor course and functioning, and suicidality.Among US adults, DSM-5 MDD is highly prevalent, comorbid, and disabling. While most cases received some treatment, a substantial minority did not. Much remains to be learned about the DSM-5 MDD specifiers in the general population.","container-title":"JAMA Psychiatry","DOI":"10.1001/jamapsychiatry.2017.4602","ISSN":"2168-622X","issue":"4","journalAbbreviation":"JAMA Psychiatry","page":"336-346","source":"Silverchair","title":"Epidemiology of Adult DSM-5 Major Depressive Disorder and Its Specifiers in the United States","volume":"75","author":[{"family":"Hasin","given":"Deborah S."},{"family":"Sarvet","given":"Aaron L."},{"family":"Meyers","given":"Jacquelyn L."},{"family":"Saha","given":"Tulshi D."},{"family":"Ruan","given":"W. June"},{"family":"Stohl","given":"Malka"},{"family":"Grant","given":"Bridget F."}],"issued":{"date-parts":[["2018",4,1]]}}},{"id":917,"uris":["http://zotero.org/users/5225066/items/XW2P8P3V"],"itemData":{"id":917,"type":"article-journal","abstract":"Epidemiological data are reviewed on the prevalence, course, socio-demographic correlates, and societal costs of major depression throughout the world. Major depression is estimated in these surveys to be a commonly occurring disorder. Although estimates of lifetime prevalence and course vary substantially across countries for reasons that could involve both substantive and methodological processes, the cross-national data are clear in documenting meaningful lifetime prevalence with wide variation in age-of-onset and high risk of lifelong chronic-recurrent persistence. A number of sociodemographic correlates of major depression are found consistently across countries, and cross-national data also document associations with numerous adverse outcomes, including difficulties in role transitions (e.g., low education, high teen childbearing, marital disruption, unstable employment), reduced role functioning (e.g., low marital quality, low work performance, low earnings), elevated risk of onset, persistence and severity of a wide range of secondary disorders, and increased risk of early mortality due to physical disorders and suicide.","container-title":"Annual Review of Public Health","DOI":"10.1146/annurev-publhealth-031912-114409","ISSN":"1545-2093","journalAbbreviation":"Annu Rev Public Health","language":"eng","note":"PMID: 23514317\nPMCID: PMC4100461","page":"119-138","source":"PubMed","title":"The epidemiology of depression across cultures","volume":"34","author":[{"family":"Kessler","given":"Ronald C."},{"family":"Bromet","given":"Evelyn J."}],"issued":{"date-parts":[["2013"]]}}},{"id":6275,"uris":["http://zotero.org/users/5225066/items/YA9JITI9"],"itemData":{"id":6275,"type":"article-journal","abstract":"BackgroundFew studies have examined spontaneous remission from major depression. This study investigated the proportion of prevalent cases of untreated major depression that will remit without treatment in a year, and whether remission rates vary by disorder severity.MethodWait-list controlled trials and observational cohort studies published up to 2010 with data describing remission from untreated depression at </w:instrText>
      </w:r>
      <w:r w:rsidR="006F2576">
        <w:rPr>
          <w:rFonts w:ascii="Cambria Math" w:hAnsi="Cambria Math" w:cs="Cambria Math"/>
        </w:rPr>
        <w:instrText>⩽</w:instrText>
      </w:r>
      <w:r w:rsidR="006F2576">
        <w:instrText xml:space="preserve">2-year follow-up were identified. Remission was defined as rescinded diagnoses or below threshold scores on standardized symptom measures. Nineteen studies were included in a regression model predicting the probability of 12-month remission from untreated depression, using logit transformed remission proportion as the dependent variable. Covariates included age, gender, study type and diagnostic measure.ResultsWait-listed compared to primary-care samples, studies with longer follow-up duration and older adult compared to adult samples were associated with lower probability of remission. Child and adolescent samples were associated with higher probability of remission. Based on adult samples recruited from primary-care settings, the model estimated that 23% of prevalent cases of untreated depression will remit within 3 months, 32% within 6 months and 53% within 12 months.ConclusionsIt is undesirable to expect 100% treatment coverage for depression, given many will remit before access to services is feasible. Data were drawn from consenting wait-list and primary-care samples, which potentially over-represented mild-to-moderate cases of depression. Considering reported rates of spontaneous remission, a short untreated period seems defensible for this subpopulation, where judged appropriate by the clinician. Conclusions may not apply to individuals with more severe depression.","container-title":"Psychological Medicine","DOI":"10.1017/S0033291712001717","ISSN":"0033-2917, 1469-8978","issue":"8","language":"en","note":"publisher: Cambridge University Press","page":"1569-1585","source":"Cambridge University Press","title":"Estimating remission from untreated major depression: a systematic review and meta-analysis","title-short":"Estimating remission from untreated major depression","volume":"43","author":[{"family":"Whiteford","given":"H. A."},{"family":"Harris","given":"M. G."},{"family":"McKeon","given":"G."},{"family":"Baxter","given":"A."},{"family":"Pennell","given":"C."},{"family":"Barendregt","given":"J. J."},{"family":"Wang","given":"J."}],"issued":{"date-parts":[["2013",8]]}}}],"schema":"https://github.com/citation-style-language/schema/raw/master/csl-citation.json"} </w:instrText>
      </w:r>
      <w:r w:rsidR="0057468F">
        <w:fldChar w:fldCharType="separate"/>
      </w:r>
      <w:r w:rsidR="006F2576" w:rsidRPr="006F2576">
        <w:rPr>
          <w:rFonts w:ascii="Calibri" w:hAnsi="Calibri" w:cs="Calibri"/>
          <w:szCs w:val="24"/>
        </w:rPr>
        <w:t>(1–3)</w:t>
      </w:r>
      <w:r w:rsidR="0057468F">
        <w:fldChar w:fldCharType="end"/>
      </w:r>
      <w:bookmarkEnd w:id="1"/>
      <w:r>
        <w:t xml:space="preserve">. </w:t>
      </w:r>
      <w:r w:rsidR="00C23498" w:rsidRPr="00B47F7C">
        <w:t xml:space="preserve">The </w:t>
      </w:r>
      <w:r w:rsidR="00C23498">
        <w:t>burden caused</w:t>
      </w:r>
      <w:r w:rsidR="00C23498" w:rsidRPr="00B47F7C">
        <w:t xml:space="preserve"> </w:t>
      </w:r>
      <w:r w:rsidR="00771DB6">
        <w:t xml:space="preserve">by </w:t>
      </w:r>
      <w:r w:rsidR="00C23498" w:rsidRPr="00B47F7C">
        <w:t xml:space="preserve">depression is </w:t>
      </w:r>
      <w:r w:rsidR="00BD790E">
        <w:t>considerable,</w:t>
      </w:r>
      <w:r w:rsidR="00C23498" w:rsidRPr="00B47F7C">
        <w:t xml:space="preserve"> both in terms </w:t>
      </w:r>
      <w:r w:rsidR="00C23498" w:rsidRPr="00BE0454">
        <w:t xml:space="preserve">of DALYs </w:t>
      </w:r>
      <w:r w:rsidR="00BE0454" w:rsidRPr="00BE0454">
        <w:t>(Disability-adjusted life years</w:t>
      </w:r>
      <w:r w:rsidR="00BE0454">
        <w:t xml:space="preserve">) </w:t>
      </w:r>
      <w:r w:rsidR="00C23498" w:rsidRPr="00B47F7C">
        <w:t xml:space="preserve">and </w:t>
      </w:r>
      <w:r w:rsidR="00BE0454">
        <w:t>YLDs (</w:t>
      </w:r>
      <w:r w:rsidR="00BE0454" w:rsidRPr="00BE0454">
        <w:t>Years of healthy life lost due to disability</w:t>
      </w:r>
      <w:r w:rsidR="00BE0454">
        <w:t xml:space="preserve">), </w:t>
      </w:r>
      <w:r w:rsidR="00C23498" w:rsidRPr="00B47F7C">
        <w:t xml:space="preserve"> </w:t>
      </w:r>
      <w:r w:rsidR="00015C50">
        <w:fldChar w:fldCharType="begin"/>
      </w:r>
      <w:r w:rsidR="006F2576">
        <w:instrText xml:space="preserve"> ADDIN ZOTERO_ITEM CSL_CITATION {"citationID":"GhWVLGoN","properties":{"formattedCitation":"(4,5)","plainCitation":"(4,5)","noteIndex":0},"citationItems":[{"id":6069,"uris":["http://zotero.org/users/5225066/items/V6DFZ3VC"],"itemData":{"id":6069,"type":"article-journal","abstract":"In this paper, Ferrari and colleagues analyzed the burden of depressive disorders in GBD 2010 and identified depressive disorders as a leading cause of burden. The authors present severity proportions; burden by country, region, age, sex, and year; as well as burden of depressive disorders as a risk factor for suicide and ischemic heart disease. Please see later in the article for the Editors' Summary","container-title":"PLOS Medicine","DOI":"10.1371/journal.pmed.1001547","ISSN":"1549-1676","issue":"11","journalAbbreviation":"PLOS Medicine","language":"en","note":"publisher: Public Library of Science","page":"e1001547","source":"PLoS Journals","title":"Burden of Depressive Disorders by Country, Sex, Age, and Year: Findings from the Global Burden of Disease Study 2010","title-short":"Burden of Depressive Disorders by Country, Sex, Age, and Year","volume":"10","author":[{"family":"Ferrari","given":"Alize J."},{"family":"Charlson","given":"Fiona J."},{"family":"Norman","given":"Rosana E."},{"family":"Patten","given":"Scott B."},{"family":"Freedman","given":"Greg"},{"family":"Murray","given":"Christopher J. L."},{"family":"Vos","given":"Theo"},{"family":"Whiteford","given":"Harvey A."}],"issued":{"date-parts":[["2013",11,5]]}}},{"id":3247,"uris":["http://zotero.org/groups/2383339/items/XCIPVMXS"],"itemData":{"id":3247,"type":"article-journal","abstract":"We argue that the global burden of mental illness is underestimated and examine the reasons for under-estimation to identify five main causes: overlap between psychiatric and neurological disorders; the grouping of suicide and self-harm as a separate category; conflation of all chronic pain syndromes with musculoskeletal disorders; exclusion of personality disorders from disease burden calculations; and inadequate consideration of the contribution of severe mental illness to mortality from associated causes. Using published data, we estimate the disease burden for mental illness to show that the global burden of mental illness accounts for 32·4% of years lived with disability (YLDs) and 13·0% of disability-adjusted life-years (DALYs), instead of the earlier estimates suggesting 21·2% of YLDs and 7·1% of DALYs. Currently used approaches underestimate the burden of mental illness by more than a third. Our estimates place mental illness a distant first in global burden of disease in terms of YLDs, and level with cardiovascular and circulatory diseases in terms of DALYs. The unacceptable apathy of governments and funders of global health must be overcome to mitigate the human, social, and economic costs of mental illness.","container-title":"The Lancet Psychiatry","DOI":"10.1016/S2215-0366(15)00505-2","ISSN":"2215-0366","issue":"2","journalAbbreviation":"The Lancet Psychiatry","language":"en","page":"171-178","source":"ScienceDirect","title":"Estimating the true global burden of mental illness","volume":"3","author":[{"family":"Vigo","given":"Daniel"},{"family":"Thornicroft","given":"Graham"},{"family":"Atun","given":"Rifat"}],"issued":{"date-parts":[["2016",2,1]]}}}],"schema":"https://github.com/citation-style-language/schema/raw/master/csl-citation.json"} </w:instrText>
      </w:r>
      <w:r w:rsidR="00015C50">
        <w:fldChar w:fldCharType="separate"/>
      </w:r>
      <w:r w:rsidR="006F2576" w:rsidRPr="006F2576">
        <w:rPr>
          <w:rFonts w:ascii="Calibri" w:hAnsi="Calibri" w:cs="Calibri"/>
        </w:rPr>
        <w:t>(4,5)</w:t>
      </w:r>
      <w:r w:rsidR="00015C50">
        <w:fldChar w:fldCharType="end"/>
      </w:r>
      <w:r w:rsidR="00C23498" w:rsidRPr="00B47F7C">
        <w:t>.</w:t>
      </w:r>
      <w:r w:rsidR="00C23498">
        <w:t xml:space="preserve"> Beyond </w:t>
      </w:r>
      <w:r w:rsidR="00E56E2E">
        <w:t>its</w:t>
      </w:r>
      <w:r w:rsidR="006A29DF">
        <w:t xml:space="preserve"> significant</w:t>
      </w:r>
      <w:r w:rsidR="00C23498">
        <w:t xml:space="preserve"> personal and social impact, depression carries </w:t>
      </w:r>
      <w:r w:rsidR="009F14C6">
        <w:t>substantial</w:t>
      </w:r>
      <w:r w:rsidR="00C23498">
        <w:t xml:space="preserve"> economic cost. </w:t>
      </w:r>
      <w:r w:rsidR="009F6C2B" w:rsidRPr="009F6C2B">
        <w:t>In 2007, the total cost of depression in England was £7.5 billion. Of this, £1.7 billion was spent on health services and £5.8 billion was lost due to</w:t>
      </w:r>
      <w:r w:rsidR="00FF1161">
        <w:t xml:space="preserve"> </w:t>
      </w:r>
      <w:r w:rsidR="00771DB6">
        <w:t>the ensuing</w:t>
      </w:r>
      <w:r w:rsidR="00FF1161">
        <w:t xml:space="preserve"> reduction in economic output </w:t>
      </w:r>
      <w:r w:rsidR="00BD42F6">
        <w:fldChar w:fldCharType="begin"/>
      </w:r>
      <w:r w:rsidR="006F2576">
        <w:instrText xml:space="preserve"> ADDIN ZOTERO_ITEM CSL_CITATION {"citationID":"a4ZiM3Xk","properties":{"formattedCitation":"(6,7)","plainCitation":"(6,7)","noteIndex":0},"citationItems":[{"id":3105,"uris":["http://zotero.org/groups/2383339/items/MNMD875A"],"itemData":{"id":3105,"type":"article-journal","abstract":"Aim:The aim of this paper is to increase awareness of the prevalence and cost of psychiatric and neurological disorders (brain disorders) in the UK.Method:UK data for 18 brain disorders were extracted from a systematic review of European epidemiological data and prevalence rates and the costs of each disorder were summarized (2010 values).Results:There were approximately 45 million cases of brain disorders in the UK, with a cost of ?134 billion per annum. The most prevalent were headache, anxiety disorders, sleep disorders, mood disorders and somatoform disorders. However, the five most costly disorders (? million) were: dementia: ?22,164; psychotic disorders: ?16,717; mood disorders: ?19,238; addiction: ?11,719; anxiety disorders: ?11,687. Apart from psychosis, these five disorders ranked amongst those with the lowest direct medical expenditure per subject (","container-title":"Journal of Psychopharmacology","DOI":"10.1177/0269881113495118","ISSN":"0269-8811","issue":"9","journalAbbreviation":"J Psychopharmacol","language":"en","page":"761-770","source":"SAGE Journals","title":"The size, burden and cost of disorders of the brain in the UK","volume":"27","author":[{"family":"Fineberg","given":"Naomi A"},{"family":"Haddad","given":"Peter M"},{"family":"Carpenter","given":"Lewis"},{"family":"Gannon","given":"Brenda"},{"family":"Sharpe","given":"Rachel"},{"family":"Young","given":"Allan H"},{"family":"Joyce","given":"Eileen"},{"family":"Rowe","given":"James"},{"family":"Wellsted","given":"David"},{"family":"Nutt","given":"David J"},{"family":"Sahakian","given":"Barbara J"}],"issued":{"date-parts":[["2013",9,1]]}}},{"id":1111,"uris":["http://zotero.org/users/5225066/items/VP5HEAKV"],"itemData":{"id":1111,"type":"book","ISBN":"978-1-85717-571-4","language":"English","publisher":"The King's Fund","source":"kclpure.kcl.ac.uk","title":"Paying the price: the cost of mental health care in England to 2026","title-short":"Paying the price","URL":"https://kclpure.kcl.ac.uk/portal/en/publications/paying-the-price-the-cost-of-mental-health-care-in-england-to-2026(ebb0265b-c5be-4326-96f4-21d4f9ed4744).html","author":[{"family":"McCrone","given":"P."},{"family":"Dhanasiri","given":"S."},{"family":"Patel","given":"A."},{"family":"Knapp","given":"M."},{"family":"Lawton-Smith","given":"S."}],"accessed":{"date-parts":[["2021",11,29]]},"issued":{"date-parts":[["2008"]]}}}],"schema":"https://github.com/citation-style-language/schema/raw/master/csl-citation.json"} </w:instrText>
      </w:r>
      <w:r w:rsidR="00BD42F6">
        <w:fldChar w:fldCharType="separate"/>
      </w:r>
      <w:r w:rsidR="006F2576" w:rsidRPr="006F2576">
        <w:rPr>
          <w:rFonts w:ascii="Calibri" w:hAnsi="Calibri" w:cs="Calibri"/>
        </w:rPr>
        <w:t>(6,7)</w:t>
      </w:r>
      <w:r w:rsidR="00BD42F6">
        <w:fldChar w:fldCharType="end"/>
      </w:r>
      <w:r w:rsidR="00C23498">
        <w:t>.</w:t>
      </w:r>
    </w:p>
    <w:p w14:paraId="7910AB67" w14:textId="3178CD3B" w:rsidR="00A407CD" w:rsidRDefault="00B1733D" w:rsidP="00764234">
      <w:r>
        <w:t>Of particular</w:t>
      </w:r>
      <w:r w:rsidR="00C23498">
        <w:t xml:space="preserve"> concern are the </w:t>
      </w:r>
      <w:r w:rsidR="00FF1161">
        <w:t xml:space="preserve">growing </w:t>
      </w:r>
      <w:r w:rsidR="00C23498">
        <w:t>rates of depression among adolescents</w:t>
      </w:r>
      <w:r w:rsidR="002222CD">
        <w:t xml:space="preserve"> and young adults. S</w:t>
      </w:r>
      <w:r w:rsidR="00270661">
        <w:t>ome</w:t>
      </w:r>
      <w:r w:rsidR="00C23498" w:rsidRPr="004B35E6">
        <w:t xml:space="preserve"> </w:t>
      </w:r>
      <w:r w:rsidR="0001574B">
        <w:t xml:space="preserve">prevalence </w:t>
      </w:r>
      <w:r w:rsidR="00C23498" w:rsidRPr="004B35E6">
        <w:t xml:space="preserve">estimates </w:t>
      </w:r>
      <w:bookmarkStart w:id="2" w:name="_Hlk121912801"/>
      <w:r w:rsidR="00C23498">
        <w:t>include</w:t>
      </w:r>
      <w:r w:rsidR="00C23498" w:rsidRPr="004B35E6">
        <w:t xml:space="preserve"> 4% in Spain </w:t>
      </w:r>
      <w:r w:rsidR="00D4171C">
        <w:fldChar w:fldCharType="begin"/>
      </w:r>
      <w:r w:rsidR="006F2576">
        <w:instrText xml:space="preserve"> ADDIN ZOTERO_ITEM CSL_CITATION {"citationID":"l78jJLWS","properties":{"formattedCitation":"(8,9)","plainCitation":"(8,9)","noteIndex":0},"citationItems":[{"id":5961,"uris":["http://zotero.org/users/5225066/items/GSX7XWGB"],"itemData":{"id":5961,"type":"article-journal","abstract":"Depression is the principal cause of illness and disability in the world. Studies charting the prevalence of depression among children and adolescents report high percentages of youngsters in both groups with depressive symptoms. This review analyzes the construct and explanatory theories of depression and offers a succinct overview of the main evaluation instruments used to measure this disorder in children and adolescents, as well as the prevention programs developed for the school environment and the different types of clinical treatment provided. The analysis reveals that in mental classifications, the child depression construct is no different from the adult one, and that multiple explanatory theories must be taken into account in order to arrive at a full understanding of depression. Consequently, both treatment and prevention should also be multifactorial in nature. Although universal programs may be more appropriate due to their broad scope of application, the results are inconclusive and fail to demonstrate any solid long-term efficacy. In conclusion, we can state that: (1) There are biological factors (such as tryptophan—a building block for serotonin-depletion, for example) which strongly influence the appearance of depressive disorders; (2) Currently, negative interpersonal relations and relations with one's environment, coupled with social-cultural changes, may explain the increase observed in the prevalence of depression; (3) Many instruments can be used to evaluate depression, but it is necessary to continue to adapt tests for diagnosing the condition at an early age; (4) Prevention programs should be developed for and implemented at an early age; and (5) The majority of treatments are becoming increasingly rigorous and effective. Given that initial manifestations of depression may occur from a very early age, further and more in-depth research is required into the biological, psychological and social factors that, in an interrelated manner, may explain the appearance, development, and treatment of depression.","container-title":"Frontiers in Psychology","ISSN":"1664-1078","source":"Frontiers","title":"Child and Adolescent Depression: A Review of Theories, Evaluation Instruments, Prevention Programs, and Treatments","title-short":"Child and Adolescent Depression","URL":"https://www.frontiersin.org/articles/10.3389/fpsyg.2019.00543","volume":"10","author":[{"family":"Bernaras","given":"Elena"},{"family":"Jaureguizar","given":"Joana"},{"family":"Garaigordobil","given":"Maite"}],"accessed":{"date-parts":[["2022",12,13]]},"issued":{"date-parts":[["2019"]]}}},{"id":6280,"uris":["http://zotero.org/users/5225066/items/W3W8JWTY"],"itemData":{"id":6280,"type":"article-journal","abstract":"Background\nIn Turkey, studies of childhood depression have been limited to those using only scales.\nMethods\nThis is a two-stage cross-sectional epidemiological study. Three schools in Fatih, Istanbul, Turkey were selected by cluster sampling. The study included 1482 students between the fourth and eighth grades. The Child Depression Inventory (CDI) was used for screening in the first stage. According to test results, 320 children were interviewed using the Schedule for Affective Disorders and Schizophrenia for School-Age Children-Present and Lifetime Version. Depressive disorders were diagnosed in 62 students, constituting the case group. The control group was matched to the case group on school, grade, age, gender, and socioeconomic status (SES).\nResults\nThe prevalence rate was 4.2% for some form of depressive disorder, 1.55% for major depressive disorder, 1.75% for dysthymic disorder, 0.26% for double depression, and 0.60% for depressive disorder-not otherwise specified. According to the logistic regression analysis, increasing age, having a working mother and low maternal education were all positively associated with CDI score. Low SES, perception of paternal health and relations with father as negatively, low popularity and behavior subscales of the Piers-Harris self-concept scale, and high trait anxiety were associated with the presence of a depressive disorder.\nLimitations\nParents were not included in the diagnostic interviews.\nConclusions\nDysthymic disorder was the most common depressive disorder. Low maternal education, low SES, dysfunctional interaction with the father, anxiety, and low self-esteem, which were all associated with depression, may be the target of interventions for prevention and treatment of depression.","container-title":"Journal of Affective Disorders","DOI":"10.1016/j.jad.2011.05.041","ISSN":"0165-0327","issue":"1","journalAbbreviation":"Journal of Affective Disorders","language":"en","page":"168-176","source":"ScienceDirect","title":"Epidemiology of depression in an urban population of Turkish children and adolescents","volume":"134","author":[{"family":"Demir","given":"Turkay"},{"family":"Karacetin","given":"Gul"},{"family":"Demir","given":"Demet Eralp"},{"family":"Uysal","given":"Omer"}],"issued":{"date-parts":[["2011",11,1]]}}}],"schema":"https://github.com/citation-style-language/schema/raw/master/csl-citation.json"} </w:instrText>
      </w:r>
      <w:r w:rsidR="00D4171C">
        <w:fldChar w:fldCharType="separate"/>
      </w:r>
      <w:r w:rsidR="006F2576" w:rsidRPr="006F2576">
        <w:rPr>
          <w:rFonts w:ascii="Calibri" w:hAnsi="Calibri" w:cs="Calibri"/>
        </w:rPr>
        <w:t>(8,9)</w:t>
      </w:r>
      <w:r w:rsidR="00D4171C">
        <w:fldChar w:fldCharType="end"/>
      </w:r>
      <w:r w:rsidR="00C23498" w:rsidRPr="004B35E6">
        <w:t xml:space="preserve">, 6% in the UK </w:t>
      </w:r>
      <w:r w:rsidR="00D4171C">
        <w:fldChar w:fldCharType="begin"/>
      </w:r>
      <w:r w:rsidR="006F2576">
        <w:instrText xml:space="preserve"> ADDIN ZOTERO_ITEM CSL_CITATION {"citationID":"qYBZngRe","properties":{"formattedCitation":"(10)","plainCitation":"(10)","noteIndex":0},"citationItems":[{"id":5966,"uris":["http://zotero.org/users/5225066/items/A558LT5A"],"itemData":{"id":5966,"type":"article-journal","abstract":"Background: Both the professional and the general media have recently published concerns about an ‘epidemic’ of child and adolescent depression. Reasons for this concern include (1) increases in antidepressant prescriptions, (2) retrospective recall by successive birth cohorts of adults, (3) rising adolescent suicide rates until 1990, and (4) evidence of an increase in emotional problems across three cohorts of British adolescents. Methods: Epidemiologic studies of children born between 1965 and 1996 were reviewed and a meta-analysis conducted of all studies that used structured diagnostic interviews to make formal diagnoses of depression on representative population samples of participants up to age 18. The effect of year of birth on prevalence was estimated, controlling for age, sex, sample size, taxonomy (e.g., DSM vs. ICD), measurement instrument, and time-frame of the interview (current, 3 months, 6 months, 12 months). Results: Twenty-six studies were identified, generating close to 60,000 observations on children born between 1965 and 1996 who had received at least one structured psychiatric interview capable of making a formal diagnosis of depression. Rates of depression showed no effect of year of birth. There was little effect of taxonomy, measurement instrument, or time-frame of interview. The overall prevalence estimates were: under 13, 2.8% (standard error (SE) .5%); 13–18 5.6% (SE .3%); 13–18 girls: 5.9% (SE .3%); 13–18 boys: 4.6% (SE .3%). Conclusions: When concurrent assessment rather than retrospective recall is used, there is no evidence for an increased prevalence of child or adolescent depression over the past 30 years. Public perception of an ‘epidemic’ may arise from heightened awareness of a disorder that was long under-diagnosed by clinicians.","container-title":"Journal of Child Psychology and Psychiatry","DOI":"10.1111/j.1469-7610.2006.01682.x","ISSN":"1469-7610","issue":"12","language":"en","note":"_eprint: https://onlinelibrary.wiley.com/doi/pdf/10.1111/j.1469-7610.2006.01682.x","page":"1263-1271","source":"Wiley Online Library","title":"Is there an epidemic of child or adolescent depression?","volume":"47","author":[{"family":"Costello","given":"E."},{"family":"Erkanli","given":"Alaattin"},{"family":"Angold","given":"Adrian"}],"issued":{"date-parts":[["2006"]]}}}],"schema":"https://github.com/citation-style-language/schema/raw/master/csl-citation.json"} </w:instrText>
      </w:r>
      <w:r w:rsidR="00D4171C">
        <w:fldChar w:fldCharType="separate"/>
      </w:r>
      <w:r w:rsidR="006F2576" w:rsidRPr="006F2576">
        <w:rPr>
          <w:rFonts w:ascii="Calibri" w:hAnsi="Calibri" w:cs="Calibri"/>
        </w:rPr>
        <w:t>(10)</w:t>
      </w:r>
      <w:r w:rsidR="00D4171C">
        <w:fldChar w:fldCharType="end"/>
      </w:r>
      <w:r w:rsidR="00D4171C">
        <w:t xml:space="preserve"> </w:t>
      </w:r>
      <w:r w:rsidR="00270661">
        <w:t>and</w:t>
      </w:r>
      <w:r w:rsidR="00C23498" w:rsidRPr="004B35E6">
        <w:t xml:space="preserve"> 10% in Australia </w:t>
      </w:r>
      <w:r w:rsidR="00D4171C">
        <w:fldChar w:fldCharType="begin"/>
      </w:r>
      <w:r w:rsidR="006F2576">
        <w:instrText xml:space="preserve"> ADDIN ZOTERO_ITEM CSL_CITATION {"citationID":"lkuEMXs0","properties":{"formattedCitation":"(11)","plainCitation":"(11)","noteIndex":0},"citationItems":[{"id":6057,"uris":["http://zotero.org/users/5225066/items/YLWXHJDK"],"itemData":{"id":6057,"type":"article-journal","abstract":"The current study was designed to determine the percentage of children “at-risk” of depression or evidencing clinical levels of depression. In addition, the study examined how the “at-risk” and the clinical groups differed from children who demonstrated no depressive symptoms on positive and negative affect, four aspects of self-concept, and peer ratings of popularity. Respondents were 510 children (270 boys 240 girls) who ranged in age from 7 to 13 years (mean = 9.39). The results demonstrated that 23% of children were either in the “at-risk” or clinical range of depression. Children in both the clinical and the “at-risk” range demonstrated higher negative affect but lower positive affect and lower self-concepts than children in the normal range. However, children's peers only differentiated between the “clinical” and “normal” groups. It is harder for peers, and other informants such as teachers and parents, to detect the problems of children with elevated depressive symptoms but who do not meet the diagnostic criteria. It is important to implement intervention programs for children who evidence depression symptoms, as well as “at-risk” children. “At-risk” children with elevated levels of depressive symptoms may be more disadvantaged, as their problems are less likely to be detected and treated.","container-title":"Depression Research and Treatment","DOI":"10.1155/2011/548034","ISSN":"2090-1321","language":"en","note":"publisher: Hindawi","page":"e548034","source":"www.hindawi.com","title":"Depressive Symptoms and Psychosocial Functioning in Preadolescent Children","volume":"2011","author":[{"family":"McCabe","given":"Marita"},{"family":"Ricciardelli","given":"Lina"},{"family":"Banfield","given":"Sophie"}],"issued":{"date-parts":[["2011",3,30]]}}}],"schema":"https://github.com/citation-style-language/schema/raw/master/csl-citation.json"} </w:instrText>
      </w:r>
      <w:r w:rsidR="00D4171C">
        <w:fldChar w:fldCharType="separate"/>
      </w:r>
      <w:r w:rsidR="006F2576" w:rsidRPr="006F2576">
        <w:rPr>
          <w:rFonts w:ascii="Calibri" w:hAnsi="Calibri" w:cs="Calibri"/>
        </w:rPr>
        <w:t>(11)</w:t>
      </w:r>
      <w:r w:rsidR="00D4171C">
        <w:fldChar w:fldCharType="end"/>
      </w:r>
      <w:r w:rsidR="00C23498" w:rsidRPr="004B35E6">
        <w:t>.</w:t>
      </w:r>
      <w:bookmarkEnd w:id="2"/>
      <w:r w:rsidR="00270661">
        <w:t xml:space="preserve"> More recent estimates (based on US data from 2020) show that 17.2% of 18-25 year olds, and 16.9% of 12-17 year olds</w:t>
      </w:r>
      <w:r>
        <w:t>,</w:t>
      </w:r>
      <w:r w:rsidR="00270661">
        <w:t xml:space="preserve"> experienced depression</w:t>
      </w:r>
      <w:r w:rsidR="006E74CC">
        <w:t xml:space="preserve"> </w:t>
      </w:r>
      <w:r w:rsidR="006E74CC">
        <w:fldChar w:fldCharType="begin"/>
      </w:r>
      <w:r w:rsidR="006F2576">
        <w:instrText xml:space="preserve"> ADDIN ZOTERO_ITEM CSL_CITATION {"citationID":"PPTAwf7P","properties":{"formattedCitation":"(12)","plainCitation":"(12)","noteIndex":0},"citationItems":[{"id":6689,"uris":["http://zotero.org/users/5225066/items/67V5T8ZW"],"itemData":{"id":6689,"type":"article-journal","abstract":"Introduction\nMajor depression is a common and potentially lethal condition. Early data suggest that the population-level burden of depression has been exacerbated by the COVID-19 pandemic. Prepandemic estimates of depression prevalence are required to quantify and comprehensively address the pandemic's impact on mental health in the U.S.\n\nMethods\nData were drawn from the 2015–2020 National Survey on Drug Use and Health, a nationally representative study of U.S. individuals aged ≥12 years. The prevalence of past-year depression and help seeking for depression were estimated from 2015 to 2019, and time trends were tested with Poisson regression with robust SEs. Point estimates were calculated for 2020 and not included in statistical trend analyses because of differences in data collection procedures.\n\nResults\nIn 2020, 9.2% (SE=0.31) of Americans aged ≥12 years experienced a past-year major depressive episode. Depression was more common among young adults aged 18–25 years (17.2%, SE=0.78), followed closely by adolescents aged 12–17 years (16.9%, SE=0.84). Depression increased most rapidly among adolescents and young adults and increased among nearly all sex, racial/ethnic, income, and education groups. Depression prevalence did not change among adults aged ≥35 years, and the prevalence of help seeking remained consistently low across the study period.\n\nConclusions\nFrom 2015 to 2019, there were widespread increases in depression without commensurate increases in treatment, and in 2020, past 12‒month depression was prevalent among nearly 1 in 10 Americans and almost 1 in 5 adolescents and young adults. Decisive action involving a multipronged public health campaign that includes evidence-based prevention and intervention to address this ongoing mental health crisis is urgently needed.","container-title":"American Journal of Preventive Medicine","DOI":"10.1016/j.amepre.2022.05.014","ISSN":"0749-3797","issue":"5","journalAbbreviation":"Am J Prev Med","note":"PMID: 36272761\nPMCID: PMC9483000","page":"726-733","source":"PubMed Central","title":"Trends in U.S. Depression Prevalence From 2015 to 2020: The Widening Treatment Gap","title-short":"Trends in U.S. Depression Prevalence From 2015 to 2020","volume":"63","author":[{"family":"Goodwin","given":"Renee D."},{"family":"Dierker","given":"Lisa C."},{"family":"Wu","given":"Melody"},{"family":"Galea","given":"Sandro"},{"family":"Hoven","given":"Christina W."},{"family":"Weinberger","given":"Andrea H."}],"issued":{"date-parts":[["2022",11]]}}}],"schema":"https://github.com/citation-style-language/schema/raw/master/csl-citation.json"} </w:instrText>
      </w:r>
      <w:r w:rsidR="006E74CC">
        <w:fldChar w:fldCharType="separate"/>
      </w:r>
      <w:r w:rsidR="006F2576" w:rsidRPr="006F2576">
        <w:rPr>
          <w:rFonts w:ascii="Calibri" w:hAnsi="Calibri" w:cs="Calibri"/>
        </w:rPr>
        <w:t>(12)</w:t>
      </w:r>
      <w:r w:rsidR="006E74CC">
        <w:fldChar w:fldCharType="end"/>
      </w:r>
      <w:r w:rsidR="00A217D4">
        <w:t xml:space="preserve">. </w:t>
      </w:r>
      <w:r w:rsidR="00270661">
        <w:t xml:space="preserve"> </w:t>
      </w:r>
      <w:r w:rsidR="00043A68">
        <w:t>Latest e</w:t>
      </w:r>
      <w:r w:rsidR="00270661">
        <w:t xml:space="preserve">stimates from the UK show that nearly a third (31%) of 16-24-year-old females </w:t>
      </w:r>
      <w:r w:rsidR="00DC6C21">
        <w:t>suffered from</w:t>
      </w:r>
      <w:r w:rsidR="00270661">
        <w:t xml:space="preserve"> depression</w:t>
      </w:r>
      <w:r w:rsidR="00181835">
        <w:t xml:space="preserve"> </w:t>
      </w:r>
      <w:r w:rsidR="00043A68">
        <w:t>between 2017 and 2018</w:t>
      </w:r>
      <w:r w:rsidR="006E74CC">
        <w:t xml:space="preserve"> </w:t>
      </w:r>
      <w:r w:rsidR="004D682E">
        <w:fldChar w:fldCharType="begin"/>
      </w:r>
      <w:r w:rsidR="006F2576">
        <w:instrText xml:space="preserve"> ADDIN ZOTERO_ITEM CSL_CITATION {"citationID":"2yXC8jps","properties":{"formattedCitation":"(13)","plainCitation":"(13)","noteIndex":0},"citationItems":[{"id":5959,"uris":["http://zotero.org/users/5225066/items/CFPKK5D8"],"itemData":{"id":5959,"type":"webpage","title":"Young people’s well-being in the UK - Office for National Statistics","URL":"https://www.ons.gov.uk/peoplepopulationandcommunity/wellbeing/bulletins/youngpeopleswellbeingintheuk/2020","accessed":{"date-parts":[["2022",12,13]]}}}],"schema":"https://github.com/citation-style-language/schema/raw/master/csl-citation.json"} </w:instrText>
      </w:r>
      <w:r w:rsidR="004D682E">
        <w:fldChar w:fldCharType="separate"/>
      </w:r>
      <w:r w:rsidR="006F2576" w:rsidRPr="006F2576">
        <w:rPr>
          <w:rFonts w:ascii="Calibri" w:hAnsi="Calibri" w:cs="Calibri"/>
        </w:rPr>
        <w:t>(13)</w:t>
      </w:r>
      <w:r w:rsidR="004D682E">
        <w:fldChar w:fldCharType="end"/>
      </w:r>
      <w:r w:rsidR="00A217D4">
        <w:t>.</w:t>
      </w:r>
      <w:r w:rsidR="000263BA">
        <w:t xml:space="preserve"> These rates are alarming, in large part because those who experience depression (or its precursor</w:t>
      </w:r>
      <w:r w:rsidR="00DC6C21">
        <w:t>s</w:t>
      </w:r>
      <w:r w:rsidR="000263BA">
        <w:t xml:space="preserve">) in early life </w:t>
      </w:r>
      <w:r w:rsidR="000263BA" w:rsidRPr="000263BA">
        <w:t xml:space="preserve">are more likely to suffer from it at a later age </w:t>
      </w:r>
      <w:r w:rsidR="00D4171C">
        <w:fldChar w:fldCharType="begin"/>
      </w:r>
      <w:r w:rsidR="006F2576">
        <w:instrText xml:space="preserve"> ADDIN ZOTERO_ITEM CSL_CITATION {"citationID":"kHiPITZ3","properties":{"formattedCitation":"(14\\uc0\\u8211{}17)","plainCitation":"(14–17)","noteIndex":0},"citationItems":[{"id":3261,"uris":["http://zotero.org/groups/2383339/items/64L6IVWU"],"itemData":{"id":3261,"type":"article-journal","abstract":"There is increasing interest in the extent to which individuals with subthreshold depression face increased risks of subsequent major depression and other disorders.To examine linkages between the extent of depressive symptoms (asymptomatic, subthreshold, major depression) at ages 17 to 18 years and mental health outcomes up to age 25 years in a New Zealand birth cohort.Data were gathered during the Christchurch Health and Development Study, a 25-year longitudinal study of a birth cohort of 1265 New Zealand children (635 males, 630 females).General community sample.The analysis was based on 1006 participants who represented 80% of the original cohort.Diagnostic and Statistical Manual of Mental Disorders, Fourth Edition symptom criteria for major depression and anxiety disorder, treatment-seeking, suicidal ideation, and suicide attempt.There were significant associations (P&amp;lt;.01) between the extent of depression at ages 17 to 18 years and rates of subsequent depressive symptoms, major depression, treatment for depression, anxiety disorder, treatment for anxiety disorder, suicidal ideation, and suicide attempts. After adjustment for covariate factors, the extent of depression at ages 17 to 18 years remained associated with later depression and suicidal tendencies. Planned comparisons showed that sample members with subthreshold depression had a similar prognosis to those meeting criteria for major depression.Findings suggest that sample members with subthreshold depression are a group with elevated risks of later depression and suicidal behaviors. Current diagnostic procedures, which classify people with subthreshold depression into complex discrete groups, might obscure the fact that depressive symptoms are dimensional and range from none to severe.Arch Gen Psychiatry. 2005;62:66-72--&gt;","container-title":"Archives of General Psychiatry","DOI":"10.1001/archpsyc.62.1.66","ISSN":"0003-990X","issue":"1","journalAbbreviation":"Archives of General Psychiatry","page":"66-72","source":"Silverchair","title":"Subthreshold Depression in Adolescence and Mental Health Outcomes in Adulthood","volume":"62","author":[{"family":"Fergusson","given":"David M."},{"family":"Horwood","given":"L. John"},{"family":"Ridder","given":"Elizabeth M."},{"family":"Beautrais","given":"Annette L."}],"issued":{"date-parts":[["2005",1,1]]}}},{"id":916,"uris":["http://zotero.org/users/5225066/items/9B45CZZJ"],"itemData":{"id":916,"type":"article-journal","abstract":"The present study was based on the clinical data summaries (\"item sheets\") of children who attended the Maudsley Hospital, London, England, during the late 1960s and early 1970s. These summaries were used to identify a group of 80 child and adolescent psychiatric patients with an operationally defined depressive syndrome. The depressed children were individually matched with 80 nondepressed psychiatric controls on demographic variables and nondepressive childhood symptoms by a computer algorithm. At follow-up, on average 18 years after the initial contact, information was obtained on the adult psychiatric status of 82% of the total sample. Adult assessments were made \"blind\" to case/control status. The depressed group was at an increased risk for affective disorder in adult life and had elevated risks of psychiatric hospitalization and psychiatric treatment. They were no more likely than the control group to have nondepressive adult psychiatric disorders. These findings suggested that there is substantial specificity in the continuity of affective disturbances between childhood and adult life.","container-title":"Archives of General Psychiatry","DOI":"10.1001/archpsyc.1990.01810170065010","ISSN":"0003-990X","issue":"5","journalAbbreviation":"Arch Gen Psychiatry","language":"eng","note":"PMID: 2184797","page":"465-473","source":"PubMed","title":"Adult outcomes of childhood and adolescent depression. I. Psychiatric status","volume":"47","author":[{"family":"Harrington","given":"R."},{"family":"Fudge","given":"H."},{"family":"Rutter","given":"M."},{"family":"Pickles","given":"A."},{"family":"Hill","given":"J."}],"issued":{"date-parts":[["1990",5]]}}},{"id":905,"uris":["http://zotero.org/users/5225066/items/986HUVHR"],"itemData":{"id":905,"type":"article-journal","abstract":"BACKGROUND: This study examined whether the possibility to predict future DSM-IV depressive disorder can be increased with recurrent screening for depression in community adolescents, compared to single screening in early or in late adolescence. In addition, it examined which depressive symptoms in early and late adolescence predicted future depressive disorder most accurately.\nMETHODS: Participants from an ongoing longitudinal cohort study were assessed when they were aged between 10 and 15 (early adolescence), and between 14 and 19 (late adolescence), and were followed until they were 20-25 (young adulthood). The Child Behavior Checklist (CBCL) and Youth Self-Report (YSR) were used to screen for depression in early and late adolescence, and CIDI/DSM-IV diagnoses of depressive disorder were used as the outcome measure during follow-up.\nRESULTS: Recurrent screening only slightly improved the prediction of future depression, and cognitive and physical symptoms in late adolescence predicted future depression accurately in boys. Sleeping problems in early adolescence predicted future depression in girls.\nLIMITATIONS: The main limitation was the retrospective recall of the age of onset of a depressive disorder.\nCONCLUSIONS: Recurrent screening for depression did not predict future depressive disorder better than single screening in late adolescence. However, depressive symptoms like sleeping problems predicted future depression quite accurately in adolescent boys and girls. This indicates that it may be useful to screen adolescents for the presence of such symptoms, for instance in school settings, to predict which adolescents are at risk to develop DSM-IV depressive disorder in early adulthood.","container-title":"Journal of Affective Disorders","DOI":"10.1016/j.jad.2006.06.007","ISSN":"0165-0327","issue":"1-3","journalAbbreviation":"J Affect Disord","language":"eng","note":"PMID: 16837054","page":"137-144","source":"PubMed","title":"Predictors of future depression in early and late adolescence","volume":"97","author":[{"family":"Lang","given":"Natasja D. J.","non-dropping-particle":"van"},{"family":"Ferdinand","given":"Robert F."},{"family":"Verhulst","given":"Frank C."}],"issued":{"date-parts":[["2007",1]]}}},{"id":3260,"uris":["http://zotero.org/groups/2383339/items/MVZWATTZ"],"itemData":{"id":3260,"type":"article-journal","abstract":"Background: Adult-onset cases of DSM-III-R major depressive disorder (MDD) often have had a history of mood disturbances and allied clinical features during childhood or adolescence. This study seeks to illuminate these early-life disturbances, as recalled and reported by adult-onset MDD cases (i.e. those whose first episode of MDD occurred after age 18) and non-cases. Methods: Our research group has re-assessed survivors in the Baltimore Epidemiologic Catchment Area (ECA) community sample roughly 13.5 years after first diagnostic assessments in 1981. Of the 1920 participants, 150 were found to have a history of adult-onset MDD; 1755 were sub-threshold with respect to DSM criteria or reported few or no depression-related problems. Survival analysis was used to plot and study the cumulative occurrence of each clinical feature of depression from age 6 through 18 years for cases of adult-onset MDD versus non-cases. Results: The earliest and most frequently occurring forerunners of adult-onset MDD were persistent depressed mood, anhedonia, feelings of worthlessness, and thoughts of death or suicide, with persistent anhedonia and worthlessness having a special prognostic value. One-third of adult-onset cases of MDD reported at least one clinical feature before age 19 versus only 7.3% of non-cases. Limitations: The study's estimates are based on retrospective recall, although a life chart methodology sought to reduce recall inaccuracies. Conclusions: The ECA follow-up sample data, though based on retrospection, provide new details about early forerunners of adult-onset depression from a sample of survivors. When they appear in children or adolescents, persistent anhedonia and persistent feelings of worthlessness merit special attention. These two clinical features, in particular, may help predict later risk of adult-onset major depression.","container-title":"Journal of Affective Disorders","DOI":"10.1016/j.jad.2003.10.007","ISSN":"0165-0327","issue":"1","journalAbbreviation":"Journal of Affective Disorders","language":"en","page":"9-20","source":"ScienceDirect","title":"Child and adolescent clinical features as forerunners of adult-onset major depressive disorder: retrospective evidence from an epidemiological sample","title-short":"Child and adolescent clinical features as forerunners of adult-onset major depressive disorder","volume":"82","author":[{"family":"Wilcox","given":"Holly C."},{"family":"Anthony","given":"James C."}],"issued":{"date-parts":[["2004",10,1]]}}}],"schema":"https://github.com/citation-style-language/schema/raw/master/csl-citation.json"} </w:instrText>
      </w:r>
      <w:r w:rsidR="00D4171C">
        <w:fldChar w:fldCharType="separate"/>
      </w:r>
      <w:r w:rsidR="006F2576" w:rsidRPr="006F2576">
        <w:rPr>
          <w:rFonts w:ascii="Calibri" w:hAnsi="Calibri" w:cs="Calibri"/>
          <w:szCs w:val="24"/>
        </w:rPr>
        <w:t>(14–17)</w:t>
      </w:r>
      <w:r w:rsidR="00D4171C">
        <w:fldChar w:fldCharType="end"/>
      </w:r>
      <w:r w:rsidR="000263BA" w:rsidRPr="000263BA">
        <w:t>.</w:t>
      </w:r>
      <w:r w:rsidR="005B6DEF">
        <w:t xml:space="preserve"> </w:t>
      </w:r>
      <w:r w:rsidR="00B8411A">
        <w:t>Despite these trends</w:t>
      </w:r>
      <w:r w:rsidR="005B6DEF">
        <w:t xml:space="preserve">, </w:t>
      </w:r>
      <w:r w:rsidR="00B64372">
        <w:t xml:space="preserve">interventions targeting </w:t>
      </w:r>
      <w:r w:rsidR="00B8411A">
        <w:t xml:space="preserve">depression among </w:t>
      </w:r>
      <w:r w:rsidR="00B64372">
        <w:t xml:space="preserve">young people are uncommon, with most of the existing efforts </w:t>
      </w:r>
      <w:r w:rsidR="00771DB6">
        <w:t xml:space="preserve">instead </w:t>
      </w:r>
      <w:r w:rsidR="00B64372">
        <w:t>focusing on prevention</w:t>
      </w:r>
      <w:r w:rsidR="00235676">
        <w:t xml:space="preserve"> </w:t>
      </w:r>
      <w:r w:rsidR="008A7B2E">
        <w:fldChar w:fldCharType="begin"/>
      </w:r>
      <w:r w:rsidR="006F2576">
        <w:instrText xml:space="preserve"> ADDIN ZOTERO_ITEM CSL_CITATION {"citationID":"7ySokNO2","properties":{"formattedCitation":"(18)","plainCitation":"(18)","noteIndex":0},"citationItems":[{"id":4855,"uris":["http://zotero.org/users/5225066/items/Z727PIDE"],"itemData":{"id":4855,"type":"article-journal","abstract":"We thank Benjamin Janaway and Mukesh Kripalani for their interest in our Personal\nView. We agree that subthreshold depression might not be an accurate term, both because\nit can refer to the isolated experience of low mood and because no clear demarcation\nexists between subthreshold and full-threshold depression. We also agree that early\nintervention should focus on culturally sensitive interventions that include psychoeducation\nand address disengagement from education and work.","container-title":"The Lancet Psychiatry","DOI":"10.1016/S2215-0366(19)30081-1","ISSN":"2215-0366, 2215-0374","issue":"4","journalAbbreviation":"The Lancet Psychiatry","language":"English","note":"publisher: Elsevier\nPMID: 30904118","page":"283-284","source":"www.thelancet.com","title":"Early intervention for depression in young people: a blind spot in mental health care – Authors' reply","title-short":"Early intervention for depression in young people","volume":"6","author":[{"family":"Davey","given":"Christopher G."},{"family":"McGorry","given":"Patrick D."}],"issued":{"date-parts":[["2019",4,1]]}}}],"schema":"https://github.com/citation-style-language/schema/raw/master/csl-citation.json"} </w:instrText>
      </w:r>
      <w:r w:rsidR="008A7B2E">
        <w:fldChar w:fldCharType="separate"/>
      </w:r>
      <w:r w:rsidR="006F2576" w:rsidRPr="006F2576">
        <w:rPr>
          <w:rFonts w:ascii="Calibri" w:hAnsi="Calibri" w:cs="Calibri"/>
        </w:rPr>
        <w:t>(18)</w:t>
      </w:r>
      <w:r w:rsidR="008A7B2E">
        <w:fldChar w:fldCharType="end"/>
      </w:r>
      <w:r w:rsidR="008A7B2E">
        <w:t>.</w:t>
      </w:r>
    </w:p>
    <w:p w14:paraId="08A3053E" w14:textId="0B2399B1" w:rsidR="005B6DEF" w:rsidRDefault="002F5A4F" w:rsidP="00764234">
      <w:r>
        <w:t xml:space="preserve">An obvious challenge for early intervention is </w:t>
      </w:r>
      <w:r w:rsidR="0073449F">
        <w:t>how</w:t>
      </w:r>
      <w:r w:rsidR="005C78B9">
        <w:t xml:space="preserve"> to diagnose depression early in one’s lifetime</w:t>
      </w:r>
      <w:r>
        <w:t>. I</w:t>
      </w:r>
      <w:r w:rsidRPr="002F5A4F">
        <w:t>n the</w:t>
      </w:r>
      <w:r>
        <w:t xml:space="preserve"> case of child and adolescent mental health</w:t>
      </w:r>
      <w:r w:rsidR="00132368">
        <w:t xml:space="preserve"> in the UK</w:t>
      </w:r>
      <w:r>
        <w:t>,</w:t>
      </w:r>
      <w:r w:rsidR="00132368">
        <w:t xml:space="preserve"> primary practitioners often lack necessary training, knowledge, and confidence</w:t>
      </w:r>
      <w:r w:rsidR="00236EE5">
        <w:t xml:space="preserve"> to diagnose depressive disorders</w:t>
      </w:r>
      <w:r w:rsidR="00132368">
        <w:t xml:space="preserve"> </w:t>
      </w:r>
      <w:r w:rsidR="00FF6E6D">
        <w:fldChar w:fldCharType="begin"/>
      </w:r>
      <w:r w:rsidR="006F2576">
        <w:instrText xml:space="preserve"> ADDIN ZOTERO_ITEM CSL_CITATION {"citationID":"IOfGI5F2","properties":{"formattedCitation":"(19)","plainCitation":"(19)","noteIndex":0},"citationItems":[{"id":4710,"uris":["http://zotero.org/users/5225066/items/SQB3W3P5"],"itemData":{"id":4710,"type":"article-journal","abstract":"Background Mental health problems are common and typically have an early onset. Effective treatments for mental health problems in childhood and adolescence are available, yet only a minority of children who are affected access them. This is of serious concern, considering the far-reaching and long-term negative consequences of such problems. Primary care is usually the first port of call for concerned parents so it is important to understand how primary care practitioners manage child and adolescent mental health problems and the barriers they face.\nAim To ascertain primary care practitioners’ perceptions of the barriers that prevent effective management of child and adolescent mental health problems.\nDesign and setting A systematic review of qualitative and quantitative literature in a primary care setting.\nMethod A database search of peer-reviewed articles using PsycINFO, MEDLINE®, Embase, and Web of Science, from inception (earliest 1806) until October 2014, was conducted. Additional studies were identified through hand searches and forward-citation searches. Studies needed to have at least one search term in four categories: primary care, childhood/adolescence, mental health, and barriers.\nResults A total of 4151 articles were identified, of which 43 were included (30 quantitative studies and 13 qualitative studies). The majority of the barriers related to identification, management, and/or referral. Considerable barriers included a lack of providers and resources, extensive waiting lists, and financial restrictions.\nConclusion The identification of a broad range of significant barriers highlights the need to strengthen the ability to deal with these common difficulties in primary care. There is a particular need for tools and training to aid accurate identification and management, and for more efficient access to specialist services.","container-title":"British Journal of General Practice","DOI":"10.3399/bjgp16X687061","ISSN":"0960-1643, 1478-5242","issue":"651","journalAbbreviation":"Br J Gen Pract","language":"en","license":"© British Journal of General Practice 2016. This is an OpenAccess article distributed under the terms of the Creative Commons Attribution License (http://creativecommons.org/licenses/by/4.0/), which permits unrestricted reuse, distribution, and reproduction in any medium, provided the original work is properly cited.","note":"publisher: British Journal of General Practice\nsection: Research\nPMID: 27621291","page":"e693-e707","source":"bjgp.org","title":"Barriers to managing child and adolescent mental health problems: a systematic review of primary care practitioners’ perceptions","title-short":"Barriers to managing child and adolescent mental health problems","volume":"66","author":[{"family":"O’Brien","given":"Doireann"},{"family":"Harvey","given":"Kate"},{"family":"Howse","given":"Jessica"},{"family":"Reardon","given":"Tessa"},{"family":"Creswell","given":"Cathy"}],"issued":{"date-parts":[["2016",10,1]]}}}],"schema":"https://github.com/citation-style-language/schema/raw/master/csl-citation.json"} </w:instrText>
      </w:r>
      <w:r w:rsidR="00FF6E6D">
        <w:fldChar w:fldCharType="separate"/>
      </w:r>
      <w:r w:rsidR="006F2576" w:rsidRPr="006F2576">
        <w:rPr>
          <w:rFonts w:ascii="Calibri" w:hAnsi="Calibri" w:cs="Calibri"/>
        </w:rPr>
        <w:t>(19)</w:t>
      </w:r>
      <w:r w:rsidR="00FF6E6D">
        <w:fldChar w:fldCharType="end"/>
      </w:r>
      <w:r w:rsidR="00132368">
        <w:t>.</w:t>
      </w:r>
      <w:r w:rsidR="00A8773F">
        <w:t xml:space="preserve">  It has also been shown that </w:t>
      </w:r>
      <w:r w:rsidR="00306AF9">
        <w:t>more young people look for mental health support</w:t>
      </w:r>
      <w:r w:rsidR="00132368">
        <w:t xml:space="preserve"> </w:t>
      </w:r>
      <w:r w:rsidR="00771DB6">
        <w:t xml:space="preserve">now </w:t>
      </w:r>
      <w:r w:rsidR="00306AF9">
        <w:t>than in the past</w:t>
      </w:r>
      <w:r w:rsidR="00771DB6">
        <w:t>,</w:t>
      </w:r>
      <w:r w:rsidR="00306AF9">
        <w:t xml:space="preserve"> increasing pressure on diagnostic and treatment resources either because of a genuine increase in incidence or because of lowered barriers to seeking help </w:t>
      </w:r>
      <w:r w:rsidR="00306AF9">
        <w:fldChar w:fldCharType="begin"/>
      </w:r>
      <w:r w:rsidR="006F2576">
        <w:instrText xml:space="preserve"> ADDIN ZOTERO_ITEM CSL_CITATION {"citationID":"A57MPk5q","properties":{"formattedCitation":"(20)","plainCitation":"(20)","noteIndex":0},"citationItems":[{"id":6319,"uris":["http://zotero.org/users/5225066/items/YNA9DHM5"],"itemData":{"id":6319,"type":"article-journal","abstract":"There has been growing concern in the UK over recent years that a perceived mental health crisis is affecting children and adolescents, although published epidemiological evidence is limited.","container-title":"BMC Psychiatry","DOI":"10.1186/s12888-021-03235-w","ISSN":"1471-244X","issue":"1","journalAbbreviation":"BMC Psychiatry","language":"en","page":"229","source":"Springer Link","title":"Temporal trends in annual incidence rates for psychiatric disorders and self-harm among children and adolescents in the UK, 2003–2018","volume":"21","author":[{"family":"Cybulski","given":"Lukasz"},{"family":"Ashcroft","given":"Darren M."},{"family":"Carr","given":"Matthew J."},{"family":"Garg","given":"Shruti"},{"family":"Chew-Graham","given":"Carolyn A."},{"family":"Kapur","given":"Nav"},{"family":"Webb","given":"Roger T."}],"issued":{"date-parts":[["2021",5,3]]}}}],"schema":"https://github.com/citation-style-language/schema/raw/master/csl-citation.json"} </w:instrText>
      </w:r>
      <w:r w:rsidR="00306AF9">
        <w:fldChar w:fldCharType="separate"/>
      </w:r>
      <w:r w:rsidR="006F2576" w:rsidRPr="006F2576">
        <w:rPr>
          <w:rFonts w:ascii="Calibri" w:hAnsi="Calibri" w:cs="Calibri"/>
        </w:rPr>
        <w:t>(20)</w:t>
      </w:r>
      <w:r w:rsidR="00306AF9">
        <w:fldChar w:fldCharType="end"/>
      </w:r>
      <w:r w:rsidR="00771DB6">
        <w:t>.</w:t>
      </w:r>
      <w:r w:rsidR="00306AF9">
        <w:t xml:space="preserve"> </w:t>
      </w:r>
      <w:r w:rsidR="00017AC8">
        <w:t xml:space="preserve">In the UK, </w:t>
      </w:r>
      <w:r w:rsidR="000013E1">
        <w:t xml:space="preserve">a </w:t>
      </w:r>
      <w:r w:rsidR="001373CE">
        <w:t>further barrier for early diagnoses of</w:t>
      </w:r>
      <w:r w:rsidR="00017AC8">
        <w:t xml:space="preserve"> depression </w:t>
      </w:r>
      <w:r w:rsidR="001373CE">
        <w:t>is the</w:t>
      </w:r>
      <w:r w:rsidR="00017AC8">
        <w:t xml:space="preserve"> general lack of funding</w:t>
      </w:r>
      <w:r w:rsidR="00132368">
        <w:t xml:space="preserve"> </w:t>
      </w:r>
      <w:r w:rsidR="00017AC8">
        <w:t xml:space="preserve">and </w:t>
      </w:r>
      <w:r w:rsidR="00132368">
        <w:t>priori</w:t>
      </w:r>
      <w:r w:rsidR="001373CE">
        <w:t>tization of other health issues</w:t>
      </w:r>
      <w:r w:rsidR="00132368">
        <w:t xml:space="preserve">. Consequently, it is estimated that merely a third of adolescent depressions is actually identified </w:t>
      </w:r>
      <w:r w:rsidR="00FF6E6D">
        <w:fldChar w:fldCharType="begin"/>
      </w:r>
      <w:r w:rsidR="006F2576">
        <w:instrText xml:space="preserve"> ADDIN ZOTERO_ITEM CSL_CITATION {"citationID":"cOEDKm56","properties":{"formattedCitation":"(21)","plainCitation":"(21)","noteIndex":0},"citationItems":[{"id":4711,"uris":["http://zotero.org/users/5225066/items/4SGU4NQQ"],"itemData":{"id":4711,"type":"article-journal","abstract":"Objective\nAnxiety and depression are common among youth and are associated with significant morbidity. Few youth with depression are diagnosed and receive treatment for these disorders. The purpose of this study was to examine the rate of recognition and management among an insured population and the factors associated with evidence of detection among youth.\nMethods\nStructured mental health interviews assessing depression and anxiety diagnoses were completed with a random sample of 581 youth (age range 11–17 years) from an integrated health care system. Administrative data on medical and pharmacy services were used to examine any evidence of detection by the medical system in the prior 12 months.\nResults\nFifty-one youth met criteria for an anxiety or depressive disorder. Twenty-two percent of these youth with an anxiety or depressive disorder as defined in Diagnostic and Statistical Manual of Mental Disorders, Fourth Edition had evidence of detection or treatment. Factors associated with detection and treatment included having diagnosis of a depressive disorder (with or without an anxiety disorder), more depressive symptoms, greater functional impairment, a higher number of primary care visits in the prior year, and higher parent-reported externalizing symptoms. On multivariate analysis, having more depressive symptoms and a higher number of primary care visits were significant predictors of detection and receipt of treatment.\nConclusions\nThe rate of detection and treatment of anxiety and depressive disorders is very low in this age group and suggests a need for increased focus on detection, particularly in light of recent evidence suggesting decreases in diagnosis and treatment among youth following the black box warning regarding antidepressant medications.","container-title":"Academic Pediatrics","DOI":"10.1016/j.acap.2009.09.011","ISSN":"1876-2859","issue":"1","journalAbbreviation":"Academic Pediatrics","language":"en","page":"36-40","source":"ScienceDirect","title":"Factors Associated with Detection and Receipt of Treatment for Youth with Depression and Anxiety Disorders","volume":"10","author":[{"family":"Richardson","given":"Laura P."},{"family":"Russo","given":"Joan E."},{"family":"Lozano","given":"Paula"},{"family":"McCauley","given":"Elizabeth"},{"family":"Katon","given":"Wayne"}],"issued":{"date-parts":[["2010",1,1]]}}}],"schema":"https://github.com/citation-style-language/schema/raw/master/csl-citation.json"} </w:instrText>
      </w:r>
      <w:r w:rsidR="00FF6E6D">
        <w:fldChar w:fldCharType="separate"/>
      </w:r>
      <w:r w:rsidR="006F2576" w:rsidRPr="006F2576">
        <w:rPr>
          <w:rFonts w:ascii="Calibri" w:hAnsi="Calibri" w:cs="Calibri"/>
        </w:rPr>
        <w:t>(21)</w:t>
      </w:r>
      <w:r w:rsidR="00FF6E6D">
        <w:fldChar w:fldCharType="end"/>
      </w:r>
      <w:r w:rsidRPr="002F5A4F">
        <w:t>.</w:t>
      </w:r>
    </w:p>
    <w:p w14:paraId="74679695" w14:textId="3A600C21" w:rsidR="004E38C5" w:rsidRDefault="00F55C74" w:rsidP="00764234">
      <w:r w:rsidRPr="00F55C74">
        <w:lastRenderedPageBreak/>
        <w:t xml:space="preserve">A new promise for streamlining and improving </w:t>
      </w:r>
      <w:r w:rsidR="00B1733D">
        <w:t xml:space="preserve">on </w:t>
      </w:r>
      <w:r w:rsidR="006A68F1">
        <w:t>early diagnose</w:t>
      </w:r>
      <w:r w:rsidRPr="00F55C74">
        <w:t xml:space="preserve">s, especially among young people, involves the use of Electronic Health Records (EHRs). EHRs </w:t>
      </w:r>
      <w:r w:rsidR="006A68F1">
        <w:t>are digital</w:t>
      </w:r>
      <w:r w:rsidRPr="00F55C74">
        <w:t xml:space="preserve"> database</w:t>
      </w:r>
      <w:r w:rsidR="006826C9">
        <w:t>s</w:t>
      </w:r>
      <w:r w:rsidRPr="00F55C74">
        <w:t xml:space="preserve"> </w:t>
      </w:r>
      <w:r>
        <w:t>of systematically coded patient</w:t>
      </w:r>
      <w:r w:rsidRPr="00F55C74">
        <w:t xml:space="preserve"> records, often supplemented with free text comments</w:t>
      </w:r>
      <w:r>
        <w:t xml:space="preserve"> made by practitioner</w:t>
      </w:r>
      <w:r w:rsidR="00B1733D">
        <w:t>s</w:t>
      </w:r>
      <w:r>
        <w:t xml:space="preserve">. </w:t>
      </w:r>
      <w:r w:rsidR="00B1733D">
        <w:t xml:space="preserve">Since 2000’s, </w:t>
      </w:r>
      <w:r w:rsidR="00431B41">
        <w:t>E</w:t>
      </w:r>
      <w:r>
        <w:t xml:space="preserve">HRs </w:t>
      </w:r>
      <w:r w:rsidR="007334AF">
        <w:t>became</w:t>
      </w:r>
      <w:r>
        <w:t xml:space="preserve"> widely adopted </w:t>
      </w:r>
      <w:r w:rsidRPr="00F55C74">
        <w:t xml:space="preserve">(&gt;90%) </w:t>
      </w:r>
      <w:r>
        <w:t>in</w:t>
      </w:r>
      <w:r w:rsidRPr="00F55C74">
        <w:t xml:space="preserve"> the USA, UK,</w:t>
      </w:r>
      <w:r>
        <w:t xml:space="preserve"> Netherlands, Australia, and N</w:t>
      </w:r>
      <w:r w:rsidR="006F718F">
        <w:t xml:space="preserve">ew </w:t>
      </w:r>
      <w:r>
        <w:t>Z</w:t>
      </w:r>
      <w:r w:rsidR="006F718F">
        <w:t>e</w:t>
      </w:r>
      <w:r w:rsidR="00840FD9">
        <w:t>a</w:t>
      </w:r>
      <w:r w:rsidR="006F718F">
        <w:t>land</w:t>
      </w:r>
      <w:r w:rsidR="00C25224">
        <w:t xml:space="preserve"> </w:t>
      </w:r>
      <w:r w:rsidR="00C25224">
        <w:fldChar w:fldCharType="begin"/>
      </w:r>
      <w:r w:rsidR="006F2576">
        <w:instrText xml:space="preserve"> ADDIN ZOTERO_ITEM CSL_CITATION {"citationID":"GEUzDivo","properties":{"formattedCitation":"(22)","plainCitation":"(22)","noteIndex":0},"citationItems":[{"id":96,"uris":["http://zotero.org/users/5225066/items/S6KXARJH"],"itemData":{"id":96,"type":"article-journal","abstract":"Objective\nTo assess the state of health information technology (HIT) adoption and use in seven industrialized nations.\nDesign\nWe used a combination of literature review, as well as interviews with experts in individual nations, to determine use of key information technologies.\nMain outcome measures\nWe examined rates of electronic health record (EHR) use in ambulatory care and hospital settings, along with current activities in health information exchange (HIE) in seven countries: the United States (U.S.), Canada, United Kingdom (UK), Germany, Netherlands, Australia, and New Zealand (NZ).\nResults\nFour nations (the UK, Netherlands, Australia, and NZ) had nearly universal use of EHRs among general practitioners (each &gt;90%) and Germany was far along (40–80%). The U.S. and Canada had a minority of ambulatory care physicians who used EHRs consistently (10–30%). While there are no high quality data for the hospital setting from any of the nations we examined, evidence suggests that only a small fraction of hospitals (&lt;10%) in any single country had the key components of an EHR. HIE efforts were a high priority in all seven nations but the early efforts have had varying degrees of active clinical data exchange.\nConclusion\nWe examined HIT adoption in seven industrialized nations and found that many have achieved high levels of ambulatory EHR adoption but lagged with respect to inpatient EHR and HIE. These data suggest that increased efforts will be needed if interoperable EHRs are soon to become ubiquitous in these seven nations.","container-title":"International Journal of Medical Informatics","DOI":"10.1016/j.ijmedinf.2008.06.007","ISSN":"1386-5056","issue":"12","journalAbbreviation":"International Journal of Medical Informatics","language":"en","page":"848-854","source":"ScienceDirect","title":"The use of health information technology in seven nations","volume":"77","author":[{"family":"Jha","given":"Ashish K."},{"family":"Doolan","given":"David"},{"family":"Grandt","given":"Daniel"},{"family":"Scott","given":"Tim"},{"family":"Bates","given":"David W."}],"issued":{"date-parts":[["2008",12,1]]}}}],"schema":"https://github.com/citation-style-language/schema/raw/master/csl-citation.json"} </w:instrText>
      </w:r>
      <w:r w:rsidR="00C25224">
        <w:fldChar w:fldCharType="separate"/>
      </w:r>
      <w:r w:rsidR="006F2576" w:rsidRPr="006F2576">
        <w:rPr>
          <w:rFonts w:ascii="Calibri" w:hAnsi="Calibri" w:cs="Calibri"/>
        </w:rPr>
        <w:t>(22)</w:t>
      </w:r>
      <w:r w:rsidR="00C25224">
        <w:fldChar w:fldCharType="end"/>
      </w:r>
      <w:r>
        <w:t>.</w:t>
      </w:r>
      <w:r w:rsidR="00431B41">
        <w:t xml:space="preserve"> Although EHRs differ between jurisdiction</w:t>
      </w:r>
      <w:r w:rsidR="006A68F1">
        <w:t>s</w:t>
      </w:r>
      <w:r w:rsidR="00431B41">
        <w:t>, they</w:t>
      </w:r>
      <w:r w:rsidR="000B7171">
        <w:t xml:space="preserve"> typically</w:t>
      </w:r>
      <w:r w:rsidR="00431B41">
        <w:t xml:space="preserve"> include individual level historical data about patient’s health conditions, results of medical tests, records of treatments and special care, details about a person’s lifestyle (e.g.</w:t>
      </w:r>
      <w:r w:rsidR="00D56D7B">
        <w:t>,</w:t>
      </w:r>
      <w:r w:rsidR="00431B41">
        <w:t xml:space="preserve"> smoking, drinking), and individual demographic chara</w:t>
      </w:r>
      <w:r w:rsidR="004E38C5">
        <w:t>cteristics (e.g.</w:t>
      </w:r>
      <w:r w:rsidR="00BD3B70">
        <w:t>,</w:t>
      </w:r>
      <w:r w:rsidR="004E38C5">
        <w:t xml:space="preserve"> age, address). In </w:t>
      </w:r>
      <w:r w:rsidR="008602D2">
        <w:t xml:space="preserve">more </w:t>
      </w:r>
      <w:r w:rsidR="004E38C5">
        <w:t xml:space="preserve">recent years, </w:t>
      </w:r>
      <w:r>
        <w:t xml:space="preserve">EHRs </w:t>
      </w:r>
      <w:r w:rsidR="004E38C5">
        <w:t>have been used by researchers to train</w:t>
      </w:r>
      <w:r w:rsidRPr="00F55C74">
        <w:t xml:space="preserve"> classification models </w:t>
      </w:r>
      <w:r>
        <w:t xml:space="preserve">for </w:t>
      </w:r>
      <w:r w:rsidRPr="00F55C74">
        <w:t xml:space="preserve">predicting </w:t>
      </w:r>
      <w:r w:rsidR="004E38C5">
        <w:t>diagnoses of</w:t>
      </w:r>
      <w:r w:rsidRPr="00F55C74">
        <w:t xml:space="preserve"> various disorders, </w:t>
      </w:r>
      <w:r>
        <w:t>including</w:t>
      </w:r>
      <w:r w:rsidRPr="00F55C74">
        <w:t xml:space="preserve"> cardiovascular conditions </w:t>
      </w:r>
      <w:r w:rsidR="00C25224">
        <w:fldChar w:fldCharType="begin"/>
      </w:r>
      <w:r w:rsidR="006F2576">
        <w:instrText xml:space="preserve"> ADDIN ZOTERO_ITEM CSL_CITATION {"citationID":"L2QbpjZn","properties":{"formattedCitation":"(23,24)","plainCitation":"(23,24)","noteIndex":0},"citationItems":[{"id":988,"uris":["http://zotero.org/users/5225066/items/CKMDQL92"],"itemData":{"id":988,"type":"article-journal","abstract":"The aim of this study was to compare the QRISKII, an electronic health data-based risk score, to the Framingham Risk Score (FRS) and atherosclerotic cardiovascular disease (ASCVD) score. Risk estimates were calculated for a cohort of 8783 patients, and the patients were followed up from November 29, 2012, through June 1, 2015, for a cardiovascular disease (CVD) event. During follow-up, 246 men and 247 women had a CVD event. Cohen’s kappa statistic for the comparison of the QRISKII and FRS was 0.22 for men and 0.23 for women, with the QRISKII classifying more patients in the higher-risk groups. The QRISKII and ASCVD were more similar with kappa statistics of 0.49 for men and 0.51 for women. The QRISKII shows increased discrimination with area under the curve (AUC) statistics of 0.65 and 0.71, respectively, compared to the FRS (0.59 and 0.66) and ASCVD (0.63 and 0.69). These results demonstrate that incorporating additional data from the electronic health record (EHR) may improve CVD risk stratification.","container-title":"Journal of Cardiovascular Translational Research","DOI":"10.1007/s12265-016-9687-z","ISSN":"1937-5395","issue":"3","journalAbbreviation":"J. of Cardiovasc. Trans. Res.","language":"en","page":"214-222","source":"Springer Link","title":"Improvement in Cardiovascular Risk Prediction with Electronic Health Records","volume":"9","author":[{"family":"Pike","given":"Mindy M."},{"family":"Decker","given":"Paul A."},{"family":"Larson","given":"Nicholas B."},{"family":"St. Sauver","given":"Jennifer L."},{"family":"Takahashi","given":"Paul Y."},{"family":"Roger","given":"Véronique L."},{"family":"Rocca","given":"Walter A."},{"family":"Miller","given":"Virginia M."},{"family":"Olson","given":"Janet E."},{"family":"Pathak","given":"Jyotishman"},{"family":"Bielinski","given":"Suzette J."}],"issued":{"date-parts":[["2016",6,1]]}}},{"id":943,"uris":["http://zotero.org/users/5225066/items/YSGPN4BP"],"itemData":{"id":943,"type":"webpage","title":"QRISK3","URL":"https://qrisk.org/three/index.php","accessed":{"date-parts":[["2021",10,27]]}}}],"schema":"https://github.com/citation-style-language/schema/raw/master/csl-citation.json"} </w:instrText>
      </w:r>
      <w:r w:rsidR="00C25224">
        <w:fldChar w:fldCharType="separate"/>
      </w:r>
      <w:r w:rsidR="006F2576" w:rsidRPr="006F2576">
        <w:rPr>
          <w:rFonts w:ascii="Calibri" w:hAnsi="Calibri" w:cs="Calibri"/>
        </w:rPr>
        <w:t>(23,24)</w:t>
      </w:r>
      <w:r w:rsidR="00C25224">
        <w:fldChar w:fldCharType="end"/>
      </w:r>
      <w:r w:rsidR="00C25224">
        <w:t xml:space="preserve"> </w:t>
      </w:r>
      <w:r w:rsidRPr="00F55C74">
        <w:t xml:space="preserve">diabetes </w:t>
      </w:r>
      <w:r w:rsidR="00C25224">
        <w:fldChar w:fldCharType="begin"/>
      </w:r>
      <w:r w:rsidR="006F2576">
        <w:instrText xml:space="preserve"> ADDIN ZOTERO_ITEM CSL_CITATION {"citationID":"WAjnYALh","properties":{"formattedCitation":"(25)","plainCitation":"(25)","noteIndex":0},"citationItems":[{"id":1000,"uris":["http://zotero.org/users/5225066/items/6QYLVNWI"],"itemData":{"id":1000,"type":"article-journal","abstract":"OBJECTIVE To create surveillance algorithms to detect diabetes and classify type 1 versus type 2 diabetes using structured electronic health record (EHR) data.\nRESEARCH DESIGN AND METHODS We extracted 4 years of data from the EHR of a large, multisite, multispecialty ambulatory practice serving </w:instrText>
      </w:r>
      <w:r w:rsidR="006F2576">
        <w:rPr>
          <w:rFonts w:ascii="Cambria Math" w:hAnsi="Cambria Math" w:cs="Cambria Math"/>
        </w:rPr>
        <w:instrText>∼</w:instrText>
      </w:r>
      <w:r w:rsidR="006F2576">
        <w:instrText xml:space="preserve">700,000 patients. We flagged possible cases of diabetes using laboratory test results, diagnosis codes, and prescriptions. We assessed the sensitivity and positive predictive value of novel combinations of these data to classify type 1 versus type 2 diabetes among 210 individuals. We applied an optimized algorithm to a live, prospective, EHR-based surveillance system and reviewed 100 additional cases for validation.\nRESULTS The diabetes algorithm flagged 43,177 patients. All criteria contributed unique cases: 78% had diabetes diagnosis codes, 66% fulfilled laboratory criteria, and 46% had suggestive prescriptions. The sensitivity and positive predictive value of ICD-9 codes for type 1 diabetes were 26% (95% CI 12–49) and 94% (83–100) for type 1 codes alone; 90% (81–95) and 57% (33–86) for two or more type 1 codes plus any number of type 2 codes. An optimized algorithm incorporating the ratio of type 1 versus type 2 codes, plasma C-peptide and autoantibody levels, and suggestive prescriptions flagged 66 of 66 (100% [96–100]) patients with type 1 diabetes. On validation, the optimized algorithm correctly classified 35 of 36 patients with type 1 diabetes (raw sensitivity, 97% [87–100], population-weighted sensitivity, 65% [36–100], and positive predictive value, 88% [78–98]).\nCONCLUSIONS Algorithms applied to EHR data detect more cases of diabetes than claims codes and reasonably discriminate between type 1 and type 2 diabetes.","container-title":"Diabetes Care","DOI":"10.2337/dc12-0964","ISSN":"0149-5992, 1935-5548","issue":"4","language":"en","license":"© 2013 by the American Diabetes Association.. Readers may use this article as long as the work is properly cited, the use is educational and not for profit, and the work is not altered. See http://creativecommons.org/licenses/by-nc-nd/3.0/ for details.","note":"publisher: American Diabetes Association\nsection: Original Research\nPMID: 23193215","page":"914-921","source":"care.diabetesjournals.org","title":"Automated Detection and Classification of Type 1 Versus Type 2 Diabetes Using Electronic Health Record Data","volume":"36","author":[{"family":"Klompas","given":"Michael"},{"family":"Eggleston","given":"Emma"},{"family":"McVetta","given":"Jason"},{"family":"Lazarus","given":"Ross"},{"family":"Li","given":"Lingling"},{"family":"Platt","given":"Richard"}],"issued":{"date-parts":[["2013",4,1]]}}}],"schema":"https://github.com/citation-style-language/schema/raw/master/csl-citation.json"} </w:instrText>
      </w:r>
      <w:r w:rsidR="00C25224">
        <w:fldChar w:fldCharType="separate"/>
      </w:r>
      <w:r w:rsidR="006F2576" w:rsidRPr="006F2576">
        <w:rPr>
          <w:rFonts w:ascii="Calibri" w:hAnsi="Calibri" w:cs="Calibri"/>
        </w:rPr>
        <w:t>(25)</w:t>
      </w:r>
      <w:r w:rsidR="00C25224">
        <w:fldChar w:fldCharType="end"/>
      </w:r>
      <w:r w:rsidRPr="00F55C74">
        <w:t xml:space="preserve">, dementia </w:t>
      </w:r>
      <w:r w:rsidR="00C25224">
        <w:fldChar w:fldCharType="begin"/>
      </w:r>
      <w:r w:rsidR="006F2576">
        <w:instrText xml:space="preserve"> ADDIN ZOTERO_ITEM CSL_CITATION {"citationID":"h0V9Dels","properties":{"formattedCitation":"(26)","plainCitation":"(26)","noteIndex":0},"citationItems":[{"id":542,"uris":["http://zotero.org/users/5225066/items/IZBUDWMX"],"itemData":{"id":542,"type":"article-journal","abstract":"Introduction\nThe study objective was to build a machine learning model to predict incident mild cognitive impairment, Alzheimer's Disease, and related dementias from structured data using administrative and electronic health record sources.\nMethods\nA cohort of patients (n = 121,907) and controls (n = 5,307,045) was created for modeling using data within 2 years of patient's incident diagnosis date. Additional cohorts 3–8 years removed from index data are used for prediction. Training cohorts were matched on age, gender, index year, and utilization, and fit with a gradient boosting machine, lightGBM.\nResults\nIncident 2-year model quality on a held-out test set had a sensitivity of 47% and area-under-the-curve of 87%. In the 3-year model, the learned labels achieved 24% (71%), which dropped to 15% (72%) in year 8.\nDiscussion\nThe ability of the model to discriminate incident cases of dementia implies that it can be a worthwhile tool to screen patients for trial recruitment and patient management.","container-title":"Alzheimer's &amp; Dementia: Translational Research &amp; Clinical Interventions","DOI":"10.1016/j.trci.2019.10.006","ISSN":"2352-8737","journalAbbreviation":"Alzheimer's &amp; Dementia: Translational Research &amp; Clinical Interventions","language":"en","page":"918-925","source":"ScienceDirect","title":"Machine learning models to predict onset of dementia: A label learning approach","title-short":"Machine learning models to predict onset of dementia","volume":"5","author":[{"family":"Nori","given":"Vijay S."},{"family":"Hane","given":"Christopher A."},{"family":"Crown","given":"William H."},{"family":"Au","given":"Rhoda"},{"family":"Burke","given":"William J."},{"family":"Sanghavi","given":"Darshak M."},{"family":"Bleicher","given":"Paul"}],"issued":{"date-parts":[["2019",1,1]]}}}],"schema":"https://github.com/citation-style-language/schema/raw/master/csl-citation.json"} </w:instrText>
      </w:r>
      <w:r w:rsidR="00C25224">
        <w:fldChar w:fldCharType="separate"/>
      </w:r>
      <w:r w:rsidR="006F2576" w:rsidRPr="006F2576">
        <w:rPr>
          <w:rFonts w:ascii="Calibri" w:hAnsi="Calibri" w:cs="Calibri"/>
        </w:rPr>
        <w:t>(26)</w:t>
      </w:r>
      <w:r w:rsidR="00C25224">
        <w:fldChar w:fldCharType="end"/>
      </w:r>
      <w:r w:rsidRPr="00F55C74">
        <w:t xml:space="preserve">, first episode </w:t>
      </w:r>
      <w:r w:rsidR="00BD3B70">
        <w:t xml:space="preserve">of </w:t>
      </w:r>
      <w:r w:rsidRPr="00F55C74">
        <w:t xml:space="preserve">psychosis </w:t>
      </w:r>
      <w:r w:rsidR="00D56D7B">
        <w:fldChar w:fldCharType="begin"/>
      </w:r>
      <w:r w:rsidR="006F2576">
        <w:instrText xml:space="preserve"> ADDIN ZOTERO_ITEM CSL_CITATION {"citationID":"nsolyXjI","properties":{"formattedCitation":"(27,28)","plainCitation":"(27,28)","noteIndex":0},"citationItems":[{"id":3243,"uris":["http://zotero.org/groups/2383339/items/32P369GN"],"itemData":{"id":3243,"type":"article-journal","abstract":"Background\nImproving outcomes of a First Episode of Psychosis (FEP) relies on the ability to detect most individuals with emerging psychosis and treat them in specialised Early Intervention (EI) services. Efficacy of current detection strategies is undetermined.\nMethods\nRECORD-compliant clinical, 6-year, retrospective, transdiagnostic, lifespan-inclusive, Electronic Health Record (EHR) cohort study, representing real-world secondary mental healthcare in South London and Maudsley (SLaM) NHS. All individuals accessing SLaM in the period 2007–2017 and receiving any ICD-10 diagnosis other than persistent psychosis were included. Descriptive statistics, Kaplan-Meier curves, logistic regression, epidemiological incidence of psychosis in the general population were used to address pathways to care and detection power of EI services for FEP.\nResults\nA total of 106,706 individuals underwent the 6-year follow-up: they were mostly single (72.57%) males (50.51%) of white ethnicity (60.01%), aged on average 32.96 years, with an average Health Of the Nation Outcome Scale score of 11.12 and mostly affected with F40–48 Neurotic/stress-related/somatoform disorders (27.46%). Their transdiagnostic risk of developing a FEP cumulated to 0.072 (95%CI 0.067–0.077) at 6 years. Those individuals who developed a FEP (n = 1841) entered healthcare mostly (79.02%) through inpatient mental health services (29.76%), community mental health services (29.54%) or accident and emergency departments (19.50%); at the time of FEP onset, most of them (46.43%) were under the acute care pathway. Individuals contacting accident and emergency departments had an increased risk of FEP (OR 2.301, 95%CI 2.095–2.534, P &lt; 0.001). The proportion of SLaM FEP cases that were eligible and under the care of EI services was 0.456 at any time. The epidemiological proportion of FEP cases in the sociodemographically-matched general population that was detected by EI service was 0.373.\nConclusions\nMore than half of individuals who develop a FEP remain undetected by current pathways to care and EI services. Improving detection strategies should become a mainstream area in the future generation of early psychosis research.","container-title":"Schizophrenia Research","DOI":"10.1016/j.schres.2020.11.031","ISSN":"0920-9964","journalAbbreviation":"Schizophrenia Research","language":"en","page":"547-554","source":"ScienceDirect","title":"The case for improved transdiagnostic detection of first-episode psychosis: Electronic health record cohort study","title-short":"The case for improved transdiagnostic detection of first-episode psychosis","volume":"228","author":[{"family":"Fusar-Poli","given":"Paolo"},{"family":"Oliver","given":"Dominic"},{"family":"Spada","given":"Giulia"},{"family":"Estrade","given":"Andres"},{"family":"McGuire","given":"Philip"}],"issued":{"date-parts":[["2021",2,1]]}}},{"id":501,"uris":["http://zotero.org/users/5225066/items/A3CVZDIM"],"itemData":{"id":501,"type":"article-journal","abstract":"Background Many individuals who will experience a first episode of psychosis (FEP) are not detected before occurrence, limiting the effect of preventive interventions. The combination of machine-learning methods and electronic health records (EHRs) could help address this gap. Methods This case-control development and validation study is based on EHR data from IBM Explorys. The IBM Explorys Platform holds standardised, longitudinal, de-identified, patient-level EHR data pooled from different health-care systems with distinct EHRs. The present EHR-based studies were retrospective, matched (1:1), case-control studies compliant with RECORD, STROBE, and TRIPOD statements. The study included individuals in the IBM Explorys database who at some point between 1990 and 2018 had a diagnosis of FEP followed by schizophrenia, and psychosis-free matched control individuals from a random subsample of the full cohort. For every individual in the FEP cohort, the individual in the control cohort was matched to have a similar date for inclusion in the database and a similar total observation time. Individuals in the FEP cohort had their index date defined as the first diagnosis of psychosis or the first prescription of antipsychotic medication. Individuals in the control cohort had their index date defined to occur the same number of days after inclusion in the database as their matching FEP individual. The FEP and control cohorts were both randomly split into development and validation datasets in a ratio of 7:3. The subset of individuals in the validation dataset who had all their health-care encounters at providers that were not seen in the development dataset made up the external validation subset. A novel recurrent neural network model was developed to predict the risk of FEP 1 year before the index date by employing demographics and medical events (in the categories diagnoses, prescriptions, procedures, encounters and admissions, observations, and laboratory test results) dynamically collected in the EHR as part of clinical routine. We named the recurrent neural network Dynamic ElecTronic hEalth reCord deTection (DETECT). The main outcomes were accuracy and area under receiver operating characteristic curve (AUROC). Decision-curve analyses and dynamic patient journey plots were used to evaluate clinical usefulness. Findings The FEP and control cohorts each comprised 72 860 individuals. 102 030 individuals (51 015 matching pairs) were randomly allocated to the development dataset and the remaining 43 690 to the validation dataset. In the validation dataset, 4770 individuals had all their encounters outside of the 118 790 health-care providers that were encountered in the development dataset. The data from these individuals made up the external validation subset. The median follow-up (observation time before index date) was 6.0 years (IQR 3.0-10.4). In the development dataset, DETECT's prognostic accuracy was 0.787 and AUROC was 0.868. In the validation dataset, DETECT's prognostic accuracy was 0.774 and AUROC was 0.856. In the external test subset, DETECT's balanced prognostic accuracy was 0.724 and AUROC was 0.799. Prevalence-adjusted decision-curve analyses suggested that DETECT was associated with a positive net benefit in two different scenarios for FEP detection. Interpretation DETECT showed adequate prognostic accuracy to detect individuals at risk of developing a FEP in primary and secondary care. Replication and refinement in a population-based setting are needed to consolidate these findings. Copyright (C) 2020 The Author(s). Published by Elsevier Ltd.","container-title":"Lancet Digital Health","DOI":"10.1016/S2589-7500(20)30024-8","issue":"5","journalAbbreviation":"Lancet Digit. Health","language":"English","note":"publisher-place: Amsterdam\npublisher: Elsevier\nWOS:000529152400012","page":"E229-E239","source":"Web of Science","title":"Dynamic ElecTronic hEalth reCord deTection (DETECT) of individuals at risk of a first episode of psychosis: a case-control development and validation study","title-short":"Dynamic ElecTronic hEalth reCord deTection (DETECT) of individuals at risk of a first episode of psychosis","volume":"2","author":[{"family":"Raket","given":"Lars Lau"},{"family":"Jaskolowski","given":"Jorn"},{"family":"Kinon","given":"Bruce J."},{"family":"Brasen","given":"Jens Christian"},{"family":"Jonsson","given":"Linus"},{"family":"Wehnert","given":"Allan"},{"family":"Fusar-Poli","given":"Paolo"}],"issued":{"date-parts":[["2020",5]]}}}],"schema":"https://github.com/citation-style-language/schema/raw/master/csl-citation.json"} </w:instrText>
      </w:r>
      <w:r w:rsidR="00D56D7B">
        <w:fldChar w:fldCharType="separate"/>
      </w:r>
      <w:r w:rsidR="006F2576" w:rsidRPr="006F2576">
        <w:rPr>
          <w:rFonts w:ascii="Calibri" w:hAnsi="Calibri" w:cs="Calibri"/>
        </w:rPr>
        <w:t>(27,28)</w:t>
      </w:r>
      <w:r w:rsidR="00D56D7B">
        <w:fldChar w:fldCharType="end"/>
      </w:r>
      <w:r w:rsidRPr="00F55C74">
        <w:t xml:space="preserve">, depression </w:t>
      </w:r>
      <w:r w:rsidR="00D56D7B">
        <w:fldChar w:fldCharType="begin"/>
      </w:r>
      <w:r w:rsidR="006F2576">
        <w:instrText xml:space="preserve"> ADDIN ZOTERO_ITEM CSL_CITATION {"citationID":"1aiFgy9z","properties":{"formattedCitation":"(29)","plainCitation":"(29)","noteIndex":0},"citationItems":[{"id":153,"uris":["http://zotero.org/users/5225066/items/5CPZYDKA"],"itemData":{"id":153,"type":"article-journal","abstract":"Generalized anxiety disorder (GAD) and major depressive disorder (MDD) are highly prevalent and impairing problems, but frequently go undetected, leading to substantial treatment delays. Electronic health records (EHRs) collect a great deal of biometric markers and patient characteristics that could foster the detection of GAD and MDD in primary care settings. We approached the problem of predicting MDD and GAD using a novel machine learning pipeline to re-analyze data from an observational study. The pipeline constitutes an ensemble of algorithmically distinct machine learning methods, including deep learning. A sample of 4,184 undergraduate students completed the study, undergoing a general health screening and completing a psychiatric assessment for MDD and GAD. After explicitly excluding all psychiatric information, 59 biomedical and demographic features from the general health survey in addition to a set of engineered features were used for model training. We assessed the model's performance on a held-out test set and found an AUC of 0.73 (sensitivity: 0.66, specificity: 0.7) and 0.67 (sensitivity: 0.55, specificity: 0.7) for GAD, and MDD, respectively. Additionally, we used advanced techniques (SHAP values) to illuminate which features had the greatest impact on prediction for each disease. The top predictive features for MDD were being satisfied with living conditions and having public health insurance. The top predictive features for GAD were vaccinations being up to date and marijuana use. Our results indicate moderate predictive performance for the application of machine learning methods in detection of GAD and MDD based on EHR data. By identifying important predictors of GAD and MDD, these results may be used in future research to aid in the early detection of MDD and GAD.","container-title":"Scientific Reports","DOI":"10.1038/s41598-021-81368-4","ISSN":"2045-2322","issue":"1","language":"en","license":"2021 The Author(s)","note":"number: 1\npublisher: Nature Publishing Group","page":"1980","source":"www.nature.com","title":"Predictive modeling of depression and anxiety using electronic health records and a novel machine learning approach with artificial intelligence","volume":"11","author":[{"family":"Nemesure","given":"Matthew D."},{"family":"Heinz","given":"Michael V."},{"family":"Huang","given":"Raphael"},{"family":"Jacobson","given":"Nicholas C."}],"issued":{"date-parts":[["2021",1,21]]}}}],"schema":"https://github.com/citation-style-language/schema/raw/master/csl-citation.json"} </w:instrText>
      </w:r>
      <w:r w:rsidR="00D56D7B">
        <w:fldChar w:fldCharType="separate"/>
      </w:r>
      <w:r w:rsidR="006F2576" w:rsidRPr="006F2576">
        <w:rPr>
          <w:rFonts w:ascii="Calibri" w:hAnsi="Calibri" w:cs="Calibri"/>
        </w:rPr>
        <w:t>(29)</w:t>
      </w:r>
      <w:r w:rsidR="00D56D7B">
        <w:fldChar w:fldCharType="end"/>
      </w:r>
      <w:r w:rsidRPr="00F55C74">
        <w:t xml:space="preserve">, and childhood mental health problems </w:t>
      </w:r>
      <w:r w:rsidR="00D56D7B">
        <w:fldChar w:fldCharType="begin"/>
      </w:r>
      <w:r w:rsidR="006F2576">
        <w:instrText xml:space="preserve"> ADDIN ZOTERO_ITEM CSL_CITATION {"citationID":"jWas58LG","properties":{"formattedCitation":"(30)","plainCitation":"(30)","noteIndex":0},"citationItems":[{"id":918,"uris":["http://zotero.org/users/5225066/items/5VSJJ69F"],"itemData":{"id":918,"type":"article-journal","abstract":"Objectives To investigate the potential value of combining information from electronic health records from Dutch general practitioners (GPs) and preventive youth healthcare professionals (PYHPs) in predicting child mental health problems (MHPs).\nDesign Population-based retrospective cohort study.\nSetting General practice, children who were registered with 76 general practice centres from the Leiden University Medical Centre (LUMC) primary care academic network Extramural LUMC Academic Network in the Leiden area, the Netherlands. For the included children we obtained data regarding a child’s healthy development from preventive youth healthcare.\nParticipants 48 256 children aged 0–19 years old who were registered with participating GPs between 2007 and 2017 and who also had data available from PYHPs from the period 2010–2015. Children with MHPs before 2007 were excluded (n=3415).\nPrimary outcome First MHPs based on GP data.\nResults In 51% of the children who had MHPs according to GPs, PYPHs also had concerns for MHPs. In 31% of the children who had no MHPs according to GPs, PYHPs had recorded concerns for MHPs. Combining their information did not result in better performing prediction models than the models based on GP data alone (c-statistics ranging from 0.62 to 0.64). Important determinants of identification of MHPs by PYHPs 1 year later were concerns from PHYPs about MHPs, borderline or increased problem scores on mental health screening tools, life events, family history of MHPs and an extra visit to preventive youth healthcare.\nConclusions Although the use of combined information from PYHPs and GPs did not improve prediction of MHPs compared with the use of GP data alone, this study showed the feasibility of analysing a combined dataset from different healthcare providers what has the potential to inform future studies aimed at improving child MHP identification.","container-title":"BMJ Open","DOI":"10.1136/bmjopen-2021-049151","ISSN":"2044-6055, 2044-6055","issue":"1","language":"en","license":"©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General practice / Family practice\nPMID: 35022168","page":"e049151","source":"bmjopen.bmj.com","title":"Identification of child mental health problems by combining electronic health record information from different primary healthcare professionals: a population-based cohort study","title-short":"Identification of child mental health problems by combining electronic health record information from different primary healthcare professionals","volume":"12","author":[{"family":"Koning","given":"Nynke R."},{"family":"Büchner","given":"Frederike L."},{"family":"Leeuwenburgh","given":"Nathalie A."},{"family":"Paijmans","given":"Irma JM"},{"family":"Dijk","given":"DJ Annemarie van Dijk-van"},{"family":"Vermeiren","given":"Robert RJM"},{"family":"Numans","given":"Mattijs E."},{"family":"Crone","given":"Mathilde"}],"issued":{"date-parts":[["2022",1,1]]}}}],"schema":"https://github.com/citation-style-language/schema/raw/master/csl-citation.json"} </w:instrText>
      </w:r>
      <w:r w:rsidR="00D56D7B">
        <w:fldChar w:fldCharType="separate"/>
      </w:r>
      <w:r w:rsidR="006F2576" w:rsidRPr="006F2576">
        <w:rPr>
          <w:rFonts w:ascii="Calibri" w:hAnsi="Calibri" w:cs="Calibri"/>
        </w:rPr>
        <w:t>(30)</w:t>
      </w:r>
      <w:r w:rsidR="00D56D7B">
        <w:fldChar w:fldCharType="end"/>
      </w:r>
      <w:r w:rsidRPr="00F55C74">
        <w:t>.</w:t>
      </w:r>
      <w:r w:rsidR="004E38C5">
        <w:t xml:space="preserve"> Overall, these efforts show a lot of promise by </w:t>
      </w:r>
      <w:r w:rsidR="00F6669D">
        <w:t xml:space="preserve">offering a predictive/diagnostic performance that is comparable or better than that typically achieved in non-specialist primary care </w:t>
      </w:r>
      <w:r w:rsidR="00F6669D">
        <w:fldChar w:fldCharType="begin"/>
      </w:r>
      <w:r w:rsidR="006F2576">
        <w:instrText xml:space="preserve"> ADDIN ZOTERO_ITEM CSL_CITATION {"citationID":"hSC2gUHY","properties":{"formattedCitation":"(31\\uc0\\u8211{}33)","plainCitation":"(31–33)","noteIndex":0},"citationItems":[{"id":3090,"uris":["http://zotero.org/groups/2383339/items/M77CI7DI"],"itemData":{"id":3090,"type":"article-journal","abstract":"Introduction\nMeasurement of mental health is challenging; however, many solutions may be found through the use of health information technology.\nMethod\nThis article reviews current approaches to measuring mental health, focusing on screening, diagnosis, treatment, and outcomes. It then identifies several key areas in which health information technology may advance the field and provide reliable and valid measurements that are readily available to and manageable for providers, as well as acceptable, feasible, and sustainable for selected populations.\nResult and Conclusions\nAlthough new technologies must overcome many challenges, including privacy, efficiency, cost, and scalability, it is an exciting and fast-growing field with many potential applications and clinical benefit.","container-title":"General Hospital Psychiatry","DOI":"10.1016/j.genhosppsych.2013.03.009","ISSN":"0163-8343","issue":"4","journalAbbreviation":"General Hospital Psychiatry","page":"349-353","source":"ScienceDirect","title":"Furthering the reliable and valid measurement of mental health screening, diagnoses, treatment and outcomes through health information technology","volume":"35","author":[{"family":"Haberer","given":"Jessica E."},{"family":"Trabin","given":"Tom"},{"family":"Klinkman","given":"Michael"}],"issued":{"date-parts":[["2013",7,1]]}},"label":"page"},{"id":71,"uris":["http://zotero.org/users/5225066/items/BGCUAGIJ"],"itemData":{"id":71,"type":"article-journal","container-title":"BMJ (Clinical research ed.)","DOI":"10.1136/bmj.325.7371.1016","ISSN":"1756-1833","issue":"7371","journalAbbreviation":"BMJ","language":"eng","note":"PMID: 12411363\nPMCID: PMC131021","page":"1016-1017","source":"PubMed","title":"Detection of depression and anxiety in primary care: follow up study","title-short":"Detection of depression and anxiety in primary care","volume":"325","author":[{"family":"Kessler","given":"David"},{"family":"Bennewith","given":"Olive"},{"family":"Lewis","given":"Glyn"},{"family":"Sharp","given":"Deborah"}],"issued":{"date-parts":[["2002",11,2]]}}},{"id":692,"uris":["http://zotero.org/users/5225066/items/P866A35D"],"itemData":{"id":692,"type":"article-journal","abstract":"Background\nThere is increasing emphasis on distress and mild depression but uncertainty regarding how well general practitioners (GPs) identify these conditions. Further, the proportion of attendees suffering distress is also unclear.\nAim\nTo quantify the rate of distress in primary care and to clarify the ability of GPs to identify distressed and/or mildly depressed individuals using their clinical skills.\nMethods\nMeta-analysis of clinical recognition of distress and mild depression defined on a continuum (severity scale) or categorically (semi-structured interview).\nResults\nFrom 157 studies that examined the ability of GPs to diagnose any emotional or mental disorder, we identified 23 that focused on defined distress and 9 that reported on mild depression. The prevalence of broadly defined distress was 37.4% (n=23, 95% CI=29.5% to 45.5) although it was 47.3% (n=14, 95% CI=38.0% to 56.7%) using self-report methods. GPs correctly identified distressed individuals in 48.4% (n=21, 95% CI=42.6% to 54.2%) of presentations and identified non-distressed people in 79.4% (n=21, 95% CI=74.3% to 84.1%) of presentations without distress. GPs correctly identified 33.8% (95% CI=27.3% to 40.7%) of people with mild depression and had a detection specificity of 80.6% (95% CI=66.4% to 91.6%) for the non-depressed. Clinicians' ability to recognize mild depression was significantly lower than their ability to recognize moderate–severe depression. Out of 100 consecutive presentations, a typical GP making a single assessment would correctly identify 19 out of 39 people with distress, missing 20. He or she would correctly re-assure 48 out of 61 people without distress, falsely label 13 people as distressed. For mild depression, out of 100 consecutive presentations, a typical GP would correctly identify 4 out of 11 people with mild depression, missing 7. GPs would correctly re-assure 72 out of 89 people without distress, falsely diagnosing 19.\nConclusions\nClinicians have considerable difficulty accurately identifying distress and mild depression in primary care with only one in three people correctly diagnosed. Clinicians are better able to identify distress than mild depression but success remains limited. However not all such individuals want professional help, and some people who are overlooked get help elsewhere, or improve spontaneously, therefore the implications of these detection problems are not yet clear.","container-title":"Journal of Affective Disorders","DOI":"10.1016/j.jad.2010.07.028","ISSN":"0165-0327","issue":"1","journalAbbreviation":"Journal of Affective Disorders","language":"en","page":"26-36","source":"ScienceDirect","title":"Can general practitioners identify people with distress and mild depression? A meta-analysis of clinical accuracy","title-short":"Can general practitioners identify people with distress and mild depression?","volume":"130","author":[{"family":"Mitchell","given":"Alex J."},{"family":"Rao","given":"Sanjay"},{"family":"Vaze","given":"Amol"}],"issued":{"date-parts":[["2011",4,1]]}}}],"schema":"https://github.com/citation-style-language/schema/raw/master/csl-citation.json"} </w:instrText>
      </w:r>
      <w:r w:rsidR="00F6669D">
        <w:fldChar w:fldCharType="separate"/>
      </w:r>
      <w:r w:rsidR="006F2576" w:rsidRPr="006F2576">
        <w:rPr>
          <w:rFonts w:ascii="Calibri" w:hAnsi="Calibri" w:cs="Calibri"/>
          <w:szCs w:val="24"/>
        </w:rPr>
        <w:t>(31–33)</w:t>
      </w:r>
      <w:r w:rsidR="00F6669D">
        <w:fldChar w:fldCharType="end"/>
      </w:r>
      <w:r w:rsidR="004E38C5">
        <w:t>.</w:t>
      </w:r>
      <w:r w:rsidR="001A743F">
        <w:t xml:space="preserve"> </w:t>
      </w:r>
      <w:r w:rsidR="004E38C5">
        <w:t xml:space="preserve">With the growing </w:t>
      </w:r>
      <w:r w:rsidR="00F6669D">
        <w:t>ubiquity</w:t>
      </w:r>
      <w:r w:rsidR="001A743F">
        <w:t xml:space="preserve"> of EHRs</w:t>
      </w:r>
      <w:r w:rsidR="00F6669D">
        <w:t xml:space="preserve">, nearing 100% in Western countries </w:t>
      </w:r>
      <w:r w:rsidR="00F6669D">
        <w:fldChar w:fldCharType="begin"/>
      </w:r>
      <w:r w:rsidR="006F2576">
        <w:instrText xml:space="preserve"> ADDIN ZOTERO_ITEM CSL_CITATION {"citationID":"fImYoKur","properties":{"formattedCitation":"(22)","plainCitation":"(22)","noteIndex":0},"citationItems":[{"id":96,"uris":["http://zotero.org/users/5225066/items/S6KXARJH"],"itemData":{"id":96,"type":"article-journal","abstract":"Objective\nTo assess the state of health information technology (HIT) adoption and use in seven industrialized nations.\nDesign\nWe used a combination of literature review, as well as interviews with experts in individual nations, to determine use of key information technologies.\nMain outcome measures\nWe examined rates of electronic health record (EHR) use in ambulatory care and hospital settings, along with current activities in health information exchange (HIE) in seven countries: the United States (U.S.), Canada, United Kingdom (UK), Germany, Netherlands, Australia, and New Zealand (NZ).\nResults\nFour nations (the UK, Netherlands, Australia, and NZ) had nearly universal use of EHRs among general practitioners (each &gt;90%) and Germany was far along (40–80%). The U.S. and Canada had a minority of ambulatory care physicians who used EHRs consistently (10–30%). While there are no high quality data for the hospital setting from any of the nations we examined, evidence suggests that only a small fraction of hospitals (&lt;10%) in any single country had the key components of an EHR. HIE efforts were a high priority in all seven nations but the early efforts have had varying degrees of active clinical data exchange.\nConclusion\nWe examined HIT adoption in seven industrialized nations and found that many have achieved high levels of ambulatory EHR adoption but lagged with respect to inpatient EHR and HIE. These data suggest that increased efforts will be needed if interoperable EHRs are soon to become ubiquitous in these seven nations.","container-title":"International Journal of Medical Informatics","DOI":"10.1016/j.ijmedinf.2008.06.007","ISSN":"1386-5056","issue":"12","journalAbbreviation":"International Journal of Medical Informatics","language":"en","page":"848-854","source":"ScienceDirect","title":"The use of health information technology in seven nations","volume":"77","author":[{"family":"Jha","given":"Ashish K."},{"family":"Doolan","given":"David"},{"family":"Grandt","given":"Daniel"},{"family":"Scott","given":"Tim"},{"family":"Bates","given":"David W."}],"issued":{"date-parts":[["2008",12,1]]}}}],"schema":"https://github.com/citation-style-language/schema/raw/master/csl-citation.json"} </w:instrText>
      </w:r>
      <w:r w:rsidR="00F6669D">
        <w:fldChar w:fldCharType="separate"/>
      </w:r>
      <w:r w:rsidR="006F2576" w:rsidRPr="006F2576">
        <w:rPr>
          <w:rFonts w:ascii="Calibri" w:hAnsi="Calibri" w:cs="Calibri"/>
        </w:rPr>
        <w:t>(22)</w:t>
      </w:r>
      <w:r w:rsidR="00F6669D">
        <w:fldChar w:fldCharType="end"/>
      </w:r>
      <w:r w:rsidR="004E38C5">
        <w:t xml:space="preserve">, combined with the </w:t>
      </w:r>
      <w:r w:rsidR="004E38C5" w:rsidRPr="004E38C5">
        <w:t xml:space="preserve">recent advances </w:t>
      </w:r>
      <w:r w:rsidR="004E38C5">
        <w:t>of</w:t>
      </w:r>
      <w:r w:rsidR="004E38C5" w:rsidRPr="004E38C5">
        <w:t xml:space="preserve"> machine learning (ML) </w:t>
      </w:r>
      <w:r w:rsidR="004E38C5">
        <w:t>methods</w:t>
      </w:r>
      <w:r w:rsidR="004E38C5" w:rsidRPr="004E38C5">
        <w:t xml:space="preserve">, </w:t>
      </w:r>
      <w:r w:rsidR="004E38C5">
        <w:t>one can expect that this approach will continue to</w:t>
      </w:r>
      <w:r w:rsidR="004E38C5" w:rsidRPr="004E38C5">
        <w:t xml:space="preserve"> improve early diagnosis for mental health.</w:t>
      </w:r>
    </w:p>
    <w:p w14:paraId="3B95D7C9" w14:textId="480A06D6" w:rsidR="001A6B96" w:rsidRPr="00710100" w:rsidRDefault="00AB38B3" w:rsidP="00764234">
      <w:pPr>
        <w:rPr>
          <w:strike/>
        </w:rPr>
      </w:pPr>
      <w:r>
        <w:t xml:space="preserve">One potential but significant barrier for realising the potential of EHR-driven predictive modelling is whether methodologies used to train large models on big health data are reproducible, and whether the results </w:t>
      </w:r>
      <w:r w:rsidR="00B45003">
        <w:t>of such efforts</w:t>
      </w:r>
      <w:r w:rsidR="0088477A">
        <w:t xml:space="preserve"> are</w:t>
      </w:r>
      <w:r>
        <w:t xml:space="preserve"> replicable. </w:t>
      </w:r>
      <w:r w:rsidR="001332AF">
        <w:t>Despite the growing concern abou</w:t>
      </w:r>
      <w:r w:rsidR="00A5237B">
        <w:t>t reliability of many findings from</w:t>
      </w:r>
      <w:r w:rsidR="008413EB">
        <w:t xml:space="preserve"> experimental</w:t>
      </w:r>
      <w:r w:rsidR="001332AF">
        <w:t xml:space="preserve"> psychology </w:t>
      </w:r>
      <w:r w:rsidR="00163F0C">
        <w:fldChar w:fldCharType="begin"/>
      </w:r>
      <w:r w:rsidR="006F2576">
        <w:instrText xml:space="preserve"> ADDIN ZOTERO_ITEM CSL_CITATION {"citationID":"21CCGHp7","properties":{"formattedCitation":"(34,35)","plainCitation":"(34,35)","noteIndex":0},"citationItems":[{"id":901,"uris":["http://zotero.org/users/5225066/items/I6UKVMWF"],"itemData":{"id":901,"type":"article-journal","abstract":"Replication initiatives in psychology continue to gather considerable attention from far outside the field, as well as controversy from within. Some accomplishments of these initiatives are noted, but this article focuses on why they do not provide a general solution for what ails psychology. There are inherent limitations to mass replications ever being conducted in many areas of psychology, both in terms of their practicality and their prospects for improving the science. Unnecessary compromises were built into the ground rules for design and publication of the Open Science Collaboration: Psychology that undermine its effectiveness. Some ground rules could actually be flipped into guidance for how not to conduct replications. Greater adherence to best publication practices, transparency in the design and publishing of research, strengthening of independent post-publication peer review and firmer enforcement of rules about data sharing and declarations of conflict of interest would make many replications unnecessary. Yet, it has been difficult to move beyond simple endorsement of these measures to consistent implementation. Given the strong institutional support for questionable publication practices, progress will depend on effective individual and collective use of social media to expose lapses and demand reform. Some recent incidents highlight the necessity of this.","container-title":"BMC Psychology","DOI":"10.1186/s40359-016-0134-3","ISSN":"2050-7283","issue":"1","journalAbbreviation":"BMC Psychology","page":"28","source":"BioMed Central","title":"Replication initiatives will not salvage the trustworthiness of psychology","volume":"4","author":[{"family":"Coyne","given":"James C."}],"issued":{"date-parts":[["2016",5,31]]}}},{"id":6292,"uris":["http://zotero.org/users/5225066/items/KMBZHG6Q"],"itemData":{"id":6292,"type":"article-journal","abstract":"There have been frequent expressions of concern over the supposed failure of researchers to conduct replication studies. But the large number of meta-analyses in our literatures shows that replication studies are in fact being conducted in most areas of research. Many who argue for replication as the “gold standard” consider a nonsignificant replication attempt to be strong evidence against the initial study, an interpretation that ignores statistical power, typically low in behavioral research. Many researchers also hold that there is no need to replicate a nonsignificant finding, believing it will always replicate perfectly, an erroneous belief. These beliefs lead to a widely accepted sequential model of the research process that is deficient because it assumes that a single study can answer a research question, a belief that meta-analysis has shown to be false. Meta-analysis can provide the solution to these problems if the problems of publication bias and questionable research practices are successfully addressed. The real problem is not a lack of replication; it is the distortion of our research literatures caused by publication bias and questionable research practices. (PsycInfo Database Record (c) 2020 APA, all rights reserved)","container-title":"Archives of Scientific Psychology","DOI":"10.1037/arc0000029","ISSN":"2169-3269","note":"publisher-place: US\npublisher: American Psychological Association","page":"32-37","source":"APA PsycNet","title":"The crisis of confidence in research findings in psychology: Is lack of replication the real problem? Or is it something else?","title-short":"The crisis of confidence in research findings in psychology","volume":"4","author":[{"family":"Schmidt","given":"Frank L."},{"family":"Oh","given":"In-Sue"}],"issued":{"date-parts":[["2016"]]}}}],"schema":"https://github.com/citation-style-language/schema/raw/master/csl-citation.json"} </w:instrText>
      </w:r>
      <w:r w:rsidR="00163F0C">
        <w:fldChar w:fldCharType="separate"/>
      </w:r>
      <w:r w:rsidR="006F2576" w:rsidRPr="006F2576">
        <w:rPr>
          <w:rFonts w:ascii="Calibri" w:hAnsi="Calibri" w:cs="Calibri"/>
        </w:rPr>
        <w:t>(34,35)</w:t>
      </w:r>
      <w:r w:rsidR="00163F0C">
        <w:fldChar w:fldCharType="end"/>
      </w:r>
      <w:r w:rsidR="001332AF">
        <w:t xml:space="preserve">, clinical psychology </w:t>
      </w:r>
      <w:r w:rsidR="00D746B4">
        <w:fldChar w:fldCharType="begin"/>
      </w:r>
      <w:r w:rsidR="006F2576">
        <w:instrText xml:space="preserve"> ADDIN ZOTERO_ITEM CSL_CITATION {"citationID":"sEmN6zKn","properties":{"formattedCitation":"(36)","plainCitation":"(36)","noteIndex":0},"citationItems":[{"id":4722,"uris":["http://zotero.org/users/5225066/items/LDSXDAP6"],"itemData":{"id":4722,"type":"article-journal","abstract":"Psychology is in the early stages of examining a crisis of replicability stemming from several high-profile failures to replicate studies in experimental psychology. This important conversation has largely been focused on social psychology, with some active participation from cognitive psychology. Nevertheless, several other major domains of psychological science—including clinical science—have remained insulated from this discussion. The goals of this article are to (a) examine why clinical psychology and allied fields, such as counseling and school psychology, have not been central participants in the replicability conversation; (b) review concerns and recommendations that are less (or more) applicable to or appropriate for research in clinical psychology and allied fields; and (c) generate take-home messages for scholars and consumers of the literature in clinical psychology and allied fields, as well as reviewers, editors, and colleagues from other areas of psychological science.","container-title":"Perspectives on Psychological Science","DOI":"10.1177/1745691617690042","ISSN":"1745-6916","issue":"5","journalAbbreviation":"Perspect Psychol Sci","language":"en","note":"publisher: SAGE Publications Inc","page":"742-756","source":"SAGE Journals","title":"It’s Time to Broaden the Replicability Conversation: Thoughts for and From Clinical Psychological Science","title-short":"It’s Time to Broaden the Replicability Conversation","volume":"12","author":[{"family":"Tackett","given":"Jennifer L."},{"family":"Lilienfeld","given":"Scott O."},{"family":"Patrick","given":"Christopher J."},{"family":"Johnson","given":"Sheri L."},{"family":"Krueger","given":"Robert F."},{"family":"Miller","given":"Joshua D."},{"family":"Oltmanns","given":"Thomas F."},{"family":"Shrout","given":"Patrick E."}],"issued":{"date-parts":[["2017",9,1]]}}}],"schema":"https://github.com/citation-style-language/schema/raw/master/csl-citation.json"} </w:instrText>
      </w:r>
      <w:r w:rsidR="00D746B4">
        <w:fldChar w:fldCharType="separate"/>
      </w:r>
      <w:r w:rsidR="006F2576" w:rsidRPr="006F2576">
        <w:rPr>
          <w:rFonts w:ascii="Calibri" w:hAnsi="Calibri" w:cs="Calibri"/>
        </w:rPr>
        <w:t>(36)</w:t>
      </w:r>
      <w:r w:rsidR="00D746B4">
        <w:fldChar w:fldCharType="end"/>
      </w:r>
      <w:r w:rsidR="001332AF">
        <w:t xml:space="preserve">, genomics </w:t>
      </w:r>
      <w:r w:rsidR="00D746B4">
        <w:fldChar w:fldCharType="begin"/>
      </w:r>
      <w:r w:rsidR="006F2576">
        <w:instrText xml:space="preserve"> ADDIN ZOTERO_ITEM CSL_CITATION {"citationID":"NxWKhRIb","properties":{"formattedCitation":"(37)","plainCitation":"(37)","noteIndex":0},"citationItems":[{"id":4724,"uris":["http://zotero.org/users/5225066/items/5PRWTHJU"],"itemData":{"id":4724,"type":"article-journal","abstract":"Since the publication of the Wellcome Trust Case Control Consortium (WTCCC) landmark study a decade ago, genome-wide association studies (GWAS) have led to the discovery of thousands of risk variants involved in disease etiology. This success story has two angles that are often overlooked. First, GWAS findings are highly replicable. This is an unprecedented phenomenon in complex trait genetics, and indeed in many areas of science, which in past decades have been plagued by false positives. At a time of increasing concerns about the lack of reproducibility, we examine the biological and methodological reasons that account for the replicability of GWAS and identify the challenges ahead. In contrast to the exemplary success of disease gene discovery, at present GWAS findings are not useful for predicting phenotypes. We close with an overview of the prospects for individualized prediction of disease risk and its foreseeable impact in clinical practice.","container-title":"Trends in Genetics","DOI":"10.1016/j.tig.2018.03.005","ISSN":"0168-9525","issue":"7","journalAbbreviation":"Trends in Genetics","language":"en","page":"504-517","source":"ScienceDirect","title":"Replicability and Prediction: Lessons and Challenges from GWAS","title-short":"Replicability and Prediction","volume":"34","author":[{"family":"Marigorta","given":"Urko M."},{"family":"Rodríguez","given":"Juan Antonio"},{"family":"Gibson","given":"Greg"},{"family":"Navarro","given":"Arcadi"}],"issued":{"date-parts":[["2018",7,1]]}}}],"schema":"https://github.com/citation-style-language/schema/raw/master/csl-citation.json"} </w:instrText>
      </w:r>
      <w:r w:rsidR="00D746B4">
        <w:fldChar w:fldCharType="separate"/>
      </w:r>
      <w:r w:rsidR="006F2576" w:rsidRPr="006F2576">
        <w:rPr>
          <w:rFonts w:ascii="Calibri" w:hAnsi="Calibri" w:cs="Calibri"/>
        </w:rPr>
        <w:t>(37)</w:t>
      </w:r>
      <w:r w:rsidR="00D746B4">
        <w:fldChar w:fldCharType="end"/>
      </w:r>
      <w:r w:rsidR="001332AF">
        <w:t xml:space="preserve">, and digital medical sciences </w:t>
      </w:r>
      <w:r w:rsidR="009D1A97">
        <w:fldChar w:fldCharType="begin"/>
      </w:r>
      <w:r w:rsidR="006F2576">
        <w:instrText xml:space="preserve"> ADDIN ZOTERO_ITEM CSL_CITATION {"citationID":"BI7ss0FD","properties":{"formattedCitation":"(38\\uc0\\u8211{}40)","plainCitation":"(38–40)","noteIndex":0},"citationItems":[{"id":640,"uris":["http://zotero.org/users/5225066/items/WBD3MNDU"],"itemData":{"id":640,"type":"article-journal","container-title":"JAMA","DOI":"10.1001/jama.2019.20866","ISSN":"0098-7484","issue":"4","journalAbbreviation":"JAMA","language":"en","page":"305","source":"DOI.org (Crossref)","title":"Challenges to the Reproducibility of Machine Learning Models in Health Care","volume":"323","author":[{"family":"Beam","given":"Andrew L."},{"family":"Manrai","given":"Arjun K."},{"family":"Ghassemi","given":"Marzyeh"}],"issued":{"date-parts":[["2020",1,28]]}}},{"id":4775,"uris":["http://zotero.org/users/5225066/items/NTKY2BP3"],"itemData":{"id":4775,"type":"article-journal","abstract":"Many research fields, including psychology and basic medical sciences, struggle with poor reproducibility of reported studies. Biomedical and health informatics is unlikely to be immune to these challenges. This paper explores replication in informatics and the unique challenges the discipline faces.Narrative review of recent literature on research replication challenges.While there is growing interest in re-analysis of existing data, experimental replication studies appear uncommon in informatics. Context effects are a particular challenge as they make ensuring replication fidelity difficult, and the same intervention will never quite reproduce the same result in different settings. Replication studies take many forms, trading-off testing validity of past findings against testing generalizability. Exact and partial replication designs emphasize testing validity while quasi and conceptual studies test generalizability of an underlying model or hypothesis with different methods or in a different setting.The cost of poor replication is a weakening in the quality of published research and the evidence-based foundation of health informatics. The benefits of replication include increased rigor in research, and the development of evaluation methods that distinguish the impact of context and the nonreproducibility of research. Taking replication seriously is essential if biomedical and health informatics is to be an evidence-based discipline.","container-title":"Journal of the American Medical Informatics Association","DOI":"10.1093/jamia/ocy028","ISSN":"1527-974X","issue":"8","journalAbbreviation":"Journal of the American Medical Informatics Association","page":"963-968","source":"Silverchair","title":"Does health informatics have a replication crisis?","volume":"25","author":[{"family":"Coiera","given":"Enrico"},{"family":"Ammenwerth","given":"Elske"},{"family":"Georgiou","given":"Andrew"},{"family":"Magrabi","given":"Farah"}],"issued":{"date-parts":[["2018",8,1]]}}},{"id":1018,"uris":["http://zotero.org/users/5225066/items/VIACSD6G"],"itemData":{"id":1018,"type":"article-journal","container-title":"npj Digital Medicine","DOI":"10.1038/s41746-019-0079-z","ISSN":"2398-6352","issue":"1","journalAbbreviation":"npj Digit. Med.","language":"en","license":"2019 The Author(s)","note":"Bandiera_abtest: a\nCc_license_type: cc_by\nCg_type: Nature Research Journals\nnumber: 1\nPrimary_atype: Reviews\npublisher: Nature Publishing Group\nSubject_term: Outcomes research;Preclinical research\nSubject_term_id: outcomes-research;pre-clinical-studies","page":"1-3","source":"www.nature.com","title":"The reproducibility crisis in the age of digital medicine","volume":"2","author":[{"family":"Stupple","given":"Aaron"},{"family":"Singerman","given":"David"},{"family":"Celi","given":"Leo Anthony"}],"issued":{"date-parts":[["2019",1,29]]}}}],"schema":"https://github.com/citation-style-language/schema/raw/master/csl-citation.json"} </w:instrText>
      </w:r>
      <w:r w:rsidR="009D1A97">
        <w:fldChar w:fldCharType="separate"/>
      </w:r>
      <w:r w:rsidR="006F2576" w:rsidRPr="006F2576">
        <w:rPr>
          <w:rFonts w:ascii="Calibri" w:hAnsi="Calibri" w:cs="Calibri"/>
          <w:szCs w:val="24"/>
        </w:rPr>
        <w:t>(38–40)</w:t>
      </w:r>
      <w:r w:rsidR="009D1A97">
        <w:fldChar w:fldCharType="end"/>
      </w:r>
      <w:r w:rsidR="001332AF">
        <w:t xml:space="preserve">, we are not aware of a single </w:t>
      </w:r>
      <w:r w:rsidR="008413EB">
        <w:t>attempt to replicate</w:t>
      </w:r>
      <w:r w:rsidR="001332AF">
        <w:t xml:space="preserve"> </w:t>
      </w:r>
      <w:r w:rsidR="008413EB">
        <w:t>research that</w:t>
      </w:r>
      <w:r w:rsidR="001332AF">
        <w:t xml:space="preserve"> </w:t>
      </w:r>
      <w:r w:rsidR="001A743F">
        <w:t>trains</w:t>
      </w:r>
      <w:r w:rsidR="001332AF">
        <w:t xml:space="preserve"> predictive models of depression on the basis of EHRs. Beyond the </w:t>
      </w:r>
      <w:r w:rsidR="00663D80">
        <w:t xml:space="preserve">obvious </w:t>
      </w:r>
      <w:r w:rsidR="001332AF">
        <w:t xml:space="preserve">scientific and applied value of ascertaining </w:t>
      </w:r>
      <w:r w:rsidR="00733520">
        <w:t xml:space="preserve">that conclusions of existing studies </w:t>
      </w:r>
      <w:r w:rsidR="006E74CC">
        <w:fldChar w:fldCharType="begin"/>
      </w:r>
      <w:r w:rsidR="006F2576">
        <w:instrText xml:space="preserve"> ADDIN ZOTERO_ITEM CSL_CITATION {"citationID":"KG4MFCUo","properties":{"formattedCitation":"(41,42)","plainCitation":"(41,42)","noteIndex":0},"citationItems":[{"id":6696,"uris":["http://zotero.org/users/5225066/items/4ZUKQWVC"],"itemData":{"id":6696,"type":"article-journal","abstract":"Being able to replicate scientific findings is crucial for scientific progress1–15. We replicate 21 systematically selected experimental studies in the social sciences published in Nature and Science between 2010 and 201516–36. The replications follow analysis plans reviewed by the original authors and pre-registered prior to the replications. The replications are high powered, with sample sizes on average about five times higher than in the original studies. We find a significant effect in the same direction as the original study for 13 (62%) studies, and the effect size of the replications is on average about 50% of the original effect size. Replicability varies between 12 (57%) and 14 (67%) studies for complementary replicability indicators. Consistent with these results, the estimated true-positive rate is 67% in a Bayesian analysis. The relative effect size of true positives is estimated to be 71%, suggesting that both false positives and inflated effect sizes of true positives contribute to imperfect reproducibility. Furthermore, we find that peer beliefs of replicability are strongly related to replicability, suggesting that the research community could predict which results would replicate and that failures to replicate were not the result of chance alone.","container-title":"Nature Human Behaviour","DOI":"10.1038/s41562-018-0399-z","ISSN":"2397-3374","issue":"9","journalAbbreviation":"Nat Hum Behav","language":"en","license":"2018 The Author(s)","note":"number: 9\npublisher: Nature Publishing Group","page":"637-644","source":"www.nature.com","title":"Evaluating the replicability of social science experiments in Nature and Science between 2010 and 2015","volume":"2","author":[{"family":"Camerer","given":"Colin F."},{"family":"Dreber","given":"Anna"},{"family":"Holzmeister","given":"Felix"},{"family":"Ho","given":"Teck-Hua"},{"family":"Huber","given":"Jürgen"},{"family":"Johannesson","given":"Magnus"},{"family":"Kirchler","given":"Michael"},{"family":"Nave","given":"Gideon"},{"family":"Nosek","given":"Brian A."},{"family":"Pfeiffer","given":"Thomas"},{"family":"Altmejd","given":"Adam"},{"family":"Buttrick","given":"Nick"},{"family":"Chan","given":"Taizan"},{"family":"Chen","given":"Yiling"},{"family":"Forsell","given":"Eskil"},{"family":"Gampa","given":"Anup"},{"family":"Heikensten","given":"Emma"},{"family":"Hummer","given":"Lily"},{"family":"Imai","given":"Taisuke"},{"family":"Isaksson","given":"Siri"},{"family":"Manfredi","given":"Dylan"},{"family":"Rose","given":"Julia"},{"family":"Wagenmakers","given":"Eric-Jan"},{"family":"Wu","given":"Hang"}],"issued":{"date-parts":[["2018",9]]}}},{"id":6694,"uris":["http://zotero.org/users/5225066/items/FQT5DQFP"],"itemData":{"id":6694,"type":"article-journal","abstract":"Replication—an important, uncommon, and misunderstood practice—is gaining appreciation in psychology. Achieving replicability is important for making research progress. If findings are not replicable, then prediction and theory development are stifled. If findings are replicable, then interrogation of their meaning and validity can advance knowledge. Assessing replicability can be productive for generating and testing hypotheses by actively confronting current understandings to identify weaknesses and spur innovation. For psychology, the 2010s might be characterized as a decade of active confrontation. Systematic and multi-site replication projects assessed current understandings and observed surprising failures to replicate many published findings. Replication efforts highlighted sociocultural challenges such as disincentives to conduct replications and a tendency to frame replication as a personal attack rather than a healthy scientific practice, and they raised awareness that replication contributes to self-correction. Nevertheless, innovation in doing and understanding replication and its cousins, reproducibility and robustness, has positioned psychology to improve research practices and accelerate progress.","container-title":"Annual Review of Psychology","DOI":"10.1146/annurev-psych-020821-114157","issue":"1","note":"_eprint: https://doi.org/10.1146/annurev-psych-020821-114157\nPMID: 34665669","page":"719-748","source":"Annual Reviews","title":"Replicability, Robustness, and Reproducibility in Psychological Science","volume":"73","author":[{"family":"Nosek","given":"Brian A."},{"family":"Hardwicke","given":"Tom E."},{"family":"Moshontz","given":"Hannah"},{"family":"Allard","given":"Aurélien"},{"family":"Corker","given":"Katherine S."},{"family":"Dreber","given":"Anna"},{"family":"Fidler","given":"Fiona"},{"family":"Hilgard","given":"Joe"},{"family":"Kline Struhl","given":"Melissa"},{"family":"Nuijten","given":"Michèle B."},{"family":"Rohrer","given":"Julia M."},{"family":"Romero","given":"Felipe"},{"family":"Scheel","given":"Anne M."},{"family":"Scherer","given":"Laura D."},{"family":"Schönbrodt","given":"Felix D."},{"family":"Vazire","given":"Simine"}],"issued":{"date-parts":[["2022"]]}}}],"schema":"https://github.com/citation-style-language/schema/raw/master/csl-citation.json"} </w:instrText>
      </w:r>
      <w:r w:rsidR="006E74CC">
        <w:fldChar w:fldCharType="separate"/>
      </w:r>
      <w:r w:rsidR="006F2576" w:rsidRPr="006F2576">
        <w:rPr>
          <w:rFonts w:ascii="Calibri" w:hAnsi="Calibri" w:cs="Calibri"/>
        </w:rPr>
        <w:t>(41,42)</w:t>
      </w:r>
      <w:r w:rsidR="006E74CC">
        <w:fldChar w:fldCharType="end"/>
      </w:r>
      <w:r w:rsidR="001332AF">
        <w:t xml:space="preserve"> the reliance on EHRs and ML methods poses a unique risk for the validity and reliability </w:t>
      </w:r>
      <w:r w:rsidR="005B34F6">
        <w:t xml:space="preserve">of </w:t>
      </w:r>
      <w:r w:rsidR="00111E06">
        <w:t xml:space="preserve">the </w:t>
      </w:r>
      <w:r w:rsidR="005B34F6">
        <w:t>previous research</w:t>
      </w:r>
      <w:r w:rsidR="001332AF">
        <w:t xml:space="preserve">. First, </w:t>
      </w:r>
      <w:r w:rsidR="00343F53">
        <w:t xml:space="preserve">various aspects of EHR data can change over time, with consequences for the predictive value of the existing models. For example, EHR </w:t>
      </w:r>
      <w:r w:rsidR="00343F53" w:rsidRPr="00B47F7C">
        <w:t xml:space="preserve">data can vary </w:t>
      </w:r>
      <w:r w:rsidR="00343F53">
        <w:t xml:space="preserve">over time </w:t>
      </w:r>
      <w:r w:rsidR="00343F53" w:rsidRPr="00B47F7C">
        <w:t>due to changes in prescribing and diagnostic guidance</w:t>
      </w:r>
      <w:r w:rsidR="00343F53">
        <w:t>, due to external shocks in the environment (e.g.</w:t>
      </w:r>
      <w:r w:rsidR="009D1A97">
        <w:t>,</w:t>
      </w:r>
      <w:r w:rsidR="00343F53">
        <w:t xml:space="preserve"> pandemics, economic factors), or </w:t>
      </w:r>
      <w:r w:rsidR="00254B97">
        <w:t xml:space="preserve">simply </w:t>
      </w:r>
      <w:r w:rsidR="00254B97">
        <w:lastRenderedPageBreak/>
        <w:t>because of errors in data entry</w:t>
      </w:r>
      <w:r w:rsidR="00BD7E77">
        <w:t xml:space="preserve"> </w:t>
      </w:r>
      <w:r w:rsidR="00BD7E77">
        <w:fldChar w:fldCharType="begin"/>
      </w:r>
      <w:r w:rsidR="006F2576">
        <w:instrText xml:space="preserve"> ADDIN ZOTERO_ITEM CSL_CITATION {"citationID":"Hxvaeyne","properties":{"formattedCitation":"(43)","plainCitation":"(43)","noteIndex":0},"citationItems":[{"id":703,"uris":["http://zotero.org/users/5225066/items/EHFC6HEC"],"itemData":{"id":703,"type":"book","abstract":"The use of Electronic Health Records (EHR)/Electronic Medical Records (EMR) data is becoming more prevalent for research. However, analysis of this type of data has many unique complications due to how they are collected, processed and types of questions that can be answered. This book covers many important topics related to using EHR/EMR data for research including data extraction, cleaning, processing, analysis, inference, and predictions based on many years of practical experience of the authors. The book carefully evaluates and compares the standard statistical models and approaches with those of machine learning and deep learning methods and reports the unbiased comparison results for these methods in predicting clinical outcomes based on the EHR data.  Key Features:    Written based on hands-on experience of contributors from multidisciplinary EHR research projects, which include methods and approaches from statistics, computing, informatics, data science and clinical/epidemiological domains.    Documents the detailed experience on EHR data extraction, cleaning and preparation    Provides a broad view of statistical approaches and machine learning prediction models to deal with the challenges and limitations of EHR data.    Considers the complete cycle of EHR data analysis.  The use of EHR/EMR analysis requires close collaborations between statisticians, informaticians, data scientists and clinical/epidemiological investigators. This book reflects that multidisciplinary perspective.","ISBN":"978-1-00-026094-6","language":"en","note":"Google-Books-ID: blEFEAAAQBAJ","number-of-pages":"329","publisher":"CRC Press","source":"Google Books","title":"Statistics and Machine Learning Methods for EHR Data: From Data Extraction to Data Analytics","title-short":"Statistics and Machine Learning Methods for EHR Data","author":[{"family":"Wu","given":"Hulin"},{"family":"Yamal","given":"Jose Miguel"},{"family":"Yaseen","given":"Ashraf"},{"family":"Maroufy","given":"Vahed"}],"issued":{"date-parts":[["2020",12,10]]}}}],"schema":"https://github.com/citation-style-language/schema/raw/master/csl-citation.json"} </w:instrText>
      </w:r>
      <w:r w:rsidR="00BD7E77">
        <w:fldChar w:fldCharType="separate"/>
      </w:r>
      <w:r w:rsidR="006F2576" w:rsidRPr="006F2576">
        <w:rPr>
          <w:rFonts w:ascii="Calibri" w:hAnsi="Calibri" w:cs="Calibri"/>
        </w:rPr>
        <w:t>(43)</w:t>
      </w:r>
      <w:r w:rsidR="00BD7E77">
        <w:fldChar w:fldCharType="end"/>
      </w:r>
      <w:r w:rsidR="00A217D4">
        <w:t>.</w:t>
      </w:r>
      <w:r w:rsidR="00343F53">
        <w:t xml:space="preserve"> In fact, e</w:t>
      </w:r>
      <w:r w:rsidR="001332AF" w:rsidRPr="001332AF">
        <w:t>ven changes in the design of EHR data entry systems could influence diagnostic code selection</w:t>
      </w:r>
      <w:r w:rsidR="00BD7E77">
        <w:t xml:space="preserve"> based on, for example, misclassification errors</w:t>
      </w:r>
      <w:r w:rsidR="001332AF" w:rsidRPr="001332AF">
        <w:t xml:space="preserve"> </w:t>
      </w:r>
      <w:r w:rsidR="00C92517">
        <w:fldChar w:fldCharType="begin"/>
      </w:r>
      <w:r w:rsidR="006F2576">
        <w:instrText xml:space="preserve"> ADDIN ZOTERO_ITEM CSL_CITATION {"citationID":"XsDcqCzN","properties":{"formattedCitation":"(44)","plainCitation":"(44)","noteIndex":0},"citationItems":[{"id":883,"uris":["http://zotero.org/users/5225066/items/NMVF6H6J"],"itemData":{"id":883,"type":"article-journal","abstract":"A promise of machine learning in health care is the avoidance of biases in diagnosis and treatment; a computer algorithm could objectively synthesize and interpret the data in the medical record. Integration of machine learning with clinical decision support tools, such as computerized alerts or diagnostic support, may offer physicians and others who provide health care targeted and timely information that can improve clinical decisions. Machine learning algorithms, however, may also be subject to biases. The biases include those related to missing data and patients not identified by algorithms, sample size and underestimation, and misclassification and measurement error. There is concern that biases and deficiencies in the data used by machine learning algorithms may contribute to socioeconomic disparities in health care. This Special Communication outlines the potential biases that may be introduced into machine learning–based clinical decision support tools that use electronic health record data and proposes potential solutions to the problems of overreliance on automation, algorithms based on biased data, and algorithms that do not provide information that is clinically meaningful. Existing health care disparities should not be amplified by thoughtless or excessive reliance on machines.","container-title":"JAMA Internal Medicine","DOI":"10.1001/jamainternmed.2018.3763","ISSN":"2168-6106","issue":"11","journalAbbreviation":"JAMA Internal Medicine","page":"1544-1547","source":"Silverchair","title":"Potential Biases in Machine Learning Algorithms Using Electronic Health Record Data","volume":"178","author":[{"family":"Gianfrancesco","given":"Milena A."},{"family":"Tamang","given":"Suzanne"},{"family":"Yazdany","given":"Jinoos"},{"family":"Schmajuk","given":"Gabriela"}],"issued":{"date-parts":[["2018",11,1]]}}}],"schema":"https://github.com/citation-style-language/schema/raw/master/csl-citation.json"} </w:instrText>
      </w:r>
      <w:r w:rsidR="00C92517">
        <w:fldChar w:fldCharType="separate"/>
      </w:r>
      <w:r w:rsidR="006F2576" w:rsidRPr="006F2576">
        <w:rPr>
          <w:rFonts w:ascii="Calibri" w:hAnsi="Calibri" w:cs="Calibri"/>
        </w:rPr>
        <w:t>(44)</w:t>
      </w:r>
      <w:r w:rsidR="00C92517">
        <w:fldChar w:fldCharType="end"/>
      </w:r>
      <w:r w:rsidR="001332AF" w:rsidRPr="001332AF">
        <w:t>.</w:t>
      </w:r>
      <w:r w:rsidR="001A6B96">
        <w:t xml:space="preserve"> It is not difficult to see that such factors could have a significant impact on the predictive accuracy of models trained on a</w:t>
      </w:r>
      <w:r w:rsidR="00675AD2">
        <w:t xml:space="preserve"> single</w:t>
      </w:r>
      <w:r w:rsidR="001A6B96">
        <w:t xml:space="preserve"> vertical slice of the</w:t>
      </w:r>
      <w:r w:rsidR="00F253B0">
        <w:t xml:space="preserve"> </w:t>
      </w:r>
      <w:r w:rsidR="001A743F">
        <w:t>EHRs</w:t>
      </w:r>
      <w:r w:rsidR="001A6B96">
        <w:t xml:space="preserve">. Second, reliance on big healthcare data and ML methods introduces many degrees of freedom for the </w:t>
      </w:r>
      <w:r w:rsidR="001A6B96" w:rsidRPr="00475903">
        <w:t>researchers (</w:t>
      </w:r>
      <w:r w:rsidR="00331880" w:rsidRPr="00475903">
        <w:t>for a review, see</w:t>
      </w:r>
      <w:r w:rsidR="00475903" w:rsidRPr="00475903">
        <w:t xml:space="preserve"> Gundersen &amp; </w:t>
      </w:r>
      <w:proofErr w:type="spellStart"/>
      <w:r w:rsidR="00475903" w:rsidRPr="00475903">
        <w:t>Kjensmo</w:t>
      </w:r>
      <w:proofErr w:type="spellEnd"/>
      <w:r w:rsidR="00475903">
        <w:t xml:space="preserve"> </w:t>
      </w:r>
      <w:r w:rsidR="00475903">
        <w:fldChar w:fldCharType="begin"/>
      </w:r>
      <w:r w:rsidR="00475903">
        <w:instrText xml:space="preserve"> ADDIN ZOTERO_ITEM CSL_CITATION {"citationID":"PK7zCh0m","properties":{"formattedCitation":"(45)","plainCitation":"(45)","noteIndex":0},"citationItems":[{"id":4729,"uris":["http://zotero.org/users/5225066/items/R9VRURG8"],"itemData":{"id":4729,"type":"article-journal","abstract":"Background: Research results in artificial intelligence (AI) are criticized for not being reproducible. Objective: To quantify the state of reproducibility of empirical AI research using six reproducibility metrics measuring three different degrees of reproducibility. Hypotheses: 1) AI research is not documented well enough to reproduce the reported results. 2) Documentation practices have improved over time. Method: The literature is reviewed and a set of variables that should be documented to enable reproducibility are grouped into three factors: Experiment, Data and Method. The metrics describe how well the factors have been documented for a paper. A total of 400 research papers from the conference series IJCAI and AAAI have been surveyed using the metrics. Findings: None of the papers document all of the variables. The metrics show that between 20% and 30% of the variables for each factor are documented. One of the metrics show statistically significant increase over time while the others show no change. Interpretation: The reproducibility scores decrease with in- creased documentation requirements. Improvement over time is found. Conclusion: Both hypotheses are supported.","container-title":"Proceedings of the AAAI Conference on Artificial Intelligence","ISSN":"2374-3468","issue":"1","language":"en","license":"Copyright (c)","note":"number: 1","source":"ojs.aaai.org","title":"State of the Art: Reproducibility in Artificial Intelligence","title-short":"State of the Art","URL":"https://ojs.aaai.org/index.php/AAAI/article/view/11503","volume":"32","author":[{"family":"Gundersen","given":"Odd Erik"},{"family":"Kjensmo","given":"Sigbjørn"}],"accessed":{"date-parts":[["2022",3,30]]},"issued":{"date-parts":[["2018",4,25]]}}}],"schema":"https://github.com/citation-style-language/schema/raw/master/csl-citation.json"} </w:instrText>
      </w:r>
      <w:r w:rsidR="00475903">
        <w:fldChar w:fldCharType="separate"/>
      </w:r>
      <w:r w:rsidR="00475903" w:rsidRPr="00475903">
        <w:rPr>
          <w:rFonts w:ascii="Calibri" w:hAnsi="Calibri" w:cs="Calibri"/>
        </w:rPr>
        <w:t>(45)</w:t>
      </w:r>
      <w:r w:rsidR="00475903">
        <w:fldChar w:fldCharType="end"/>
      </w:r>
      <w:r w:rsidR="001A6B96">
        <w:t xml:space="preserve">. Indeed, insufficient information about the model fitting procedure, lack of transparency about predictor/feature selection, ambiguous data pre-processing steps, or </w:t>
      </w:r>
      <w:r w:rsidR="007B5CD4">
        <w:t>lack of easily available and annotated code</w:t>
      </w:r>
      <w:r w:rsidR="001A743F">
        <w:t>,</w:t>
      </w:r>
      <w:r w:rsidR="007B5CD4">
        <w:t xml:space="preserve"> are among many reasons why most </w:t>
      </w:r>
      <w:r w:rsidR="00A71340">
        <w:t>of the existing ML applications are</w:t>
      </w:r>
      <w:r w:rsidR="007B5CD4">
        <w:t xml:space="preserve"> not reproducible</w:t>
      </w:r>
      <w:r w:rsidR="00C92517">
        <w:t xml:space="preserve"> </w:t>
      </w:r>
      <w:r w:rsidR="00C92517">
        <w:fldChar w:fldCharType="begin"/>
      </w:r>
      <w:r w:rsidR="006F2576">
        <w:instrText xml:space="preserve"> ADDIN ZOTERO_ITEM CSL_CITATION {"citationID":"dyl3LxgL","properties":{"formattedCitation":"(46,47)","plainCitation":"(46,47)","noteIndex":0},"citationItems":[{"id":690,"uris":["http://zotero.org/users/5225066/items/VH2IILEP"],"itemData":{"id":690,"type":"article-journal","abstract":"The suggestions proposed by Lee et al. to improve cognitive modeling practices have significant parallels to the current best practices for improving reproducibility in the field of Machine Learning. In the current commentary on “robust modeling in cognitive science”, we highlight the practices that overlap and discuss how similar proposals have produced novel ongoing challenges, including cultural change towards open science, the scalability and interpretability of required practices, and the downstream effects of having robust practices that are fully transparent. Through this, we hope to inform future practices in computational modeling work with a broader scope.","container-title":"Computational Brain &amp; Behavior","DOI":"10.1007/s42113-019-00055-w","ISSN":"2522-087X","issue":"3","journalAbbreviation":"Comput Brain Behav","language":"en","page":"242-246","source":"Springer Link","title":"Towards Replication in Computational Cognitive Modeling: a Machine Learning Perspective","title-short":"Towards Replication in Computational Cognitive Modeling","volume":"2","author":[{"family":"Emmery","given":"Chris"},{"family":"Kádár","given":"Ákos"},{"family":"Wiltshire","given":"Travis J."},{"family":"Hendrickson","given":"Andrew T."}],"issued":{"date-parts":[["2019",12,1]]}}},{"id":5516,"uris":["http://zotero.org/users/5225066/items/GCLGQQA6"],"itemData":{"id":5516,"type":"article-journal","abstract":"‘Data leakage’ threatens the reliability of machine-learning use across disciplines, researchers warn.","container-title":"Nature","DOI":"10.1038/d41586-022-02035-w","language":"en","license":"2022 Springer Nature Limited","note":"Bandiera_abtest: a\nCg_type: News\npublisher: Nature Publishing Group\nSubject_term: Machine learning, Publishing, Mathematics and computing","source":"www.nature.com","title":"Could machine learning fuel a reproducibility crisis in science?","URL":"https://www.nature.com/articles/d41586-022-02035-w","author":[{"family":"Gibney","given":"Elizabeth"}],"accessed":{"date-parts":[["2022",7,27]]},"issued":{"date-parts":[["2022",7,26]]}}}],"schema":"https://github.com/citation-style-language/schema/raw/master/csl-citation.json"} </w:instrText>
      </w:r>
      <w:r w:rsidR="00C92517">
        <w:fldChar w:fldCharType="separate"/>
      </w:r>
      <w:r w:rsidR="006F2576" w:rsidRPr="006F2576">
        <w:rPr>
          <w:rFonts w:ascii="Calibri" w:hAnsi="Calibri" w:cs="Calibri"/>
        </w:rPr>
        <w:t>(46,47)</w:t>
      </w:r>
      <w:r w:rsidR="00C92517">
        <w:fldChar w:fldCharType="end"/>
      </w:r>
      <w:r w:rsidR="007B5CD4">
        <w:t>.</w:t>
      </w:r>
    </w:p>
    <w:p w14:paraId="2CD806A3" w14:textId="6597C98F" w:rsidR="001A6B96" w:rsidRPr="008672A4" w:rsidRDefault="00466D80" w:rsidP="00764234">
      <w:pPr>
        <w:pStyle w:val="Heading2"/>
      </w:pPr>
      <w:r w:rsidRPr="008672A4">
        <w:t>Current Research</w:t>
      </w:r>
    </w:p>
    <w:p w14:paraId="55109B88" w14:textId="5CBD73BE" w:rsidR="00DE51B6" w:rsidRPr="0091599C" w:rsidRDefault="00466D80" w:rsidP="00764234">
      <w:proofErr w:type="gramStart"/>
      <w:r w:rsidRPr="0091599C">
        <w:t>In light of</w:t>
      </w:r>
      <w:proofErr w:type="gramEnd"/>
      <w:r w:rsidRPr="0091599C">
        <w:t xml:space="preserve"> concerns about replicability and reproducibility of existing research, the goal of the present study is to </w:t>
      </w:r>
      <w:r w:rsidR="007654B1" w:rsidRPr="0091599C">
        <w:t xml:space="preserve">replicate a </w:t>
      </w:r>
      <w:r w:rsidR="00710100" w:rsidRPr="0091599C">
        <w:t xml:space="preserve">study </w:t>
      </w:r>
      <w:r w:rsidR="007654B1" w:rsidRPr="0091599C">
        <w:t>that combines</w:t>
      </w:r>
      <w:r w:rsidRPr="0091599C">
        <w:t xml:space="preserve"> ML and EHRs to predict depression among young adults (15-24 year</w:t>
      </w:r>
      <w:r w:rsidR="002B7427">
        <w:t>s</w:t>
      </w:r>
      <w:r w:rsidRPr="0091599C">
        <w:t xml:space="preserve">). Our </w:t>
      </w:r>
      <w:r w:rsidR="00710100" w:rsidRPr="0091599C">
        <w:t>target</w:t>
      </w:r>
      <w:r w:rsidRPr="0091599C">
        <w:t xml:space="preserve"> study </w:t>
      </w:r>
      <w:r w:rsidR="00710100" w:rsidRPr="0091599C">
        <w:t>is that of</w:t>
      </w:r>
      <w:r w:rsidR="00475903">
        <w:t xml:space="preserve"> Nichols et al. </w:t>
      </w:r>
      <w:r w:rsidR="00475903">
        <w:fldChar w:fldCharType="begin"/>
      </w:r>
      <w:r w:rsidR="00475903">
        <w:instrText xml:space="preserve"> ADDIN ZOTERO_ITEM CSL_CITATION {"citationID":"JRZfgq4P","properties":{"formattedCitation":"(48)","plainCitation":"(48)","noteIndex":0},"citationItems":[{"id":691,"uris":["http://zotero.org/users/5225066/items/69WFEGTJ"],"itemData":{"id":691,"type":"article-journal","abstract":"Background Approximately 80 000 children and young people in the UK suffer from depression, but many are untreated because of poor identification of early warning signs and risk factors. Aims This study aimed to derive and to investigate discrimination characteristics of a prediction model for a first recorded diagnosis of depression in young people aged 15–24 years. Method This study used a matched case–control method using electronic primary care records. Stepwise conditional logistic regression modelling investigated 42 potential predictors including symptoms, co-morbidities, social factors and drug and alcohol misuse. Results Of the socio-economic and symptomatic predictors identified, the strongest associations were with depression symptoms and other psychological conditions. School problems and social services involvement were prominent predictors in men aged 15–18 years, work stress in women aged 19–24 years. Conclusion Our model is a first step in the development of a predictive model identifying early warning signs of depression in young people in primary care.","container-title":"Early Intervention in Psychiatry","DOI":"10.1111/eip.12332","ISSN":"1751-7893","issue":"3","language":"en","license":"© 2016 John Wiley &amp; Sons Australia, Ltd","page":"444-455","source":"Wiley Online Library","title":"Derivation of a prediction model for a diagnosis of depression in young adults: a matched case–control study using electronic primary care records","title-short":"Derivation of a prediction model for a diagnosis of depression in young adults","volume":"12","author":[{"family":"Nichols","given":"Linda"},{"family":"Ryan","given":"Ronan"},{"family":"Connor","given":"Charlotte"},{"family":"Birchwood","given":"Max"},{"family":"Marshall","given":"Tom"}],"issued":{"date-parts":[["2018"]]}}}],"schema":"https://github.com/citation-style-language/schema/raw/master/csl-citation.json"} </w:instrText>
      </w:r>
      <w:r w:rsidR="00475903">
        <w:fldChar w:fldCharType="separate"/>
      </w:r>
      <w:r w:rsidR="00475903" w:rsidRPr="00475903">
        <w:rPr>
          <w:rFonts w:ascii="Calibri" w:hAnsi="Calibri" w:cs="Calibri"/>
        </w:rPr>
        <w:t>(48)</w:t>
      </w:r>
      <w:r w:rsidR="00475903">
        <w:fldChar w:fldCharType="end"/>
      </w:r>
      <w:r w:rsidR="00475903">
        <w:t xml:space="preserve"> </w:t>
      </w:r>
      <w:r w:rsidRPr="0091599C">
        <w:t xml:space="preserve"> [henceforth, NRCBM] who </w:t>
      </w:r>
      <w:r w:rsidR="00EA3B53" w:rsidRPr="0091599C">
        <w:t>reported</w:t>
      </w:r>
      <w:r w:rsidRPr="0091599C">
        <w:t xml:space="preserve"> results of models trained</w:t>
      </w:r>
      <w:r w:rsidR="00BE0D88" w:rsidRPr="0091599C">
        <w:t xml:space="preserve"> on EHRs</w:t>
      </w:r>
      <w:r w:rsidRPr="0091599C">
        <w:t xml:space="preserve"> to </w:t>
      </w:r>
      <w:r w:rsidRPr="00872127">
        <w:t>predict depression among four groups</w:t>
      </w:r>
      <w:r w:rsidR="00EA3B53" w:rsidRPr="00872127">
        <w:t xml:space="preserve"> of young people</w:t>
      </w:r>
      <w:r w:rsidRPr="00872127">
        <w:t>: females aged 15-18</w:t>
      </w:r>
      <w:r w:rsidR="00EA3B53" w:rsidRPr="00872127">
        <w:t xml:space="preserve"> (F 15-18)</w:t>
      </w:r>
      <w:r w:rsidRPr="00872127">
        <w:t>, females aged 19-24</w:t>
      </w:r>
      <w:r w:rsidR="00EA3B53" w:rsidRPr="00872127">
        <w:t xml:space="preserve"> (F 19-24)</w:t>
      </w:r>
      <w:r w:rsidRPr="00872127">
        <w:t>, males aged 15-18</w:t>
      </w:r>
      <w:r w:rsidR="00EA3B53" w:rsidRPr="00872127">
        <w:t xml:space="preserve"> (M 15-18)</w:t>
      </w:r>
      <w:r w:rsidRPr="00872127">
        <w:t>, and males aged 19-24</w:t>
      </w:r>
      <w:r w:rsidR="00EA3B53" w:rsidRPr="00872127">
        <w:t xml:space="preserve"> (M 19-24)</w:t>
      </w:r>
      <w:r w:rsidRPr="00872127">
        <w:t>. Unlike many existing replication attempts</w:t>
      </w:r>
      <w:r w:rsidR="00872127" w:rsidRPr="00872127">
        <w:t xml:space="preserve">  </w:t>
      </w:r>
      <w:r w:rsidR="00872127" w:rsidRPr="00872127">
        <w:fldChar w:fldCharType="begin"/>
      </w:r>
      <w:r w:rsidR="00872127" w:rsidRPr="00872127">
        <w:instrText xml:space="preserve"> ADDIN ZOTERO_ITEM CSL_CITATION {"citationID":"oMazMPyt","properties":{"formattedCitation":"(49)","plainCitation":"(49)","noteIndex":0},"citationItems":[{"id":6700,"uris":["http://zotero.org/users/5225066/items/VIIR9DTJ"],"itemData":{"id":6700,"type":"article-journal","abstract":"Conjecture about the weak replicability in social sciences has made scholars eager to quantify the scale and scope of replication failure for a discipline. Yet small-scale manual replication methods alone are ill-suited to deal with this big data problem. Here, we conduct a discipline-wide replication census in science. Our sample (N = 14,126 papers) covers nearly all papers published in the six top-tier Psychology journals over the past 20 y. Using a validated machine learning model that estimates a paper's likelihood of replication, we found evidence that both supports and refutes speculations drawn from a relatively small sample of manual replications. First, we find that a single overall replication rate of Psychology poorly captures the varying degree of replicability among subfields. Second, we find that replication rates are strongly correlated with research methods in all subfields. Experiments replicate at a significantly lower rate than do non-experimental studies. Third, we find that authors' cumulative publication number and citation impact are positively related to the likelihood of replication, while other proxies of research quality and rigor, such as an author's university prestige and a paper's citations, are unrelated to replicability. Finally, contrary to the ideal that media attention should cover replicable research, we find that media attention is positively related to the likelihood of replication failure. Our assessments of the scale and scope of replicability are important next steps toward broadly resolving issues of replicability.","container-title":"Proceedings of the National Academy of Sciences of the United States of America","DOI":"10.1073/pnas.2208863120","ISSN":"1091-6490","issue":"6","journalAbbreviation":"Proc Natl Acad Sci U S A","language":"eng","note":"PMID: 36716367\nPMCID: PMC9963456","page":"e2208863120","source":"PubMed","title":"A discipline-wide investigation of the replicability of Psychology papers over the past two decades","volume":"120","author":[{"family":"Youyou","given":"Wu"},{"family":"Yang","given":"Yang"},{"family":"Uzzi","given":"Brian"}],"issued":{"date-parts":[["2023",2,7]]}}}],"schema":"https://github.com/citation-style-language/schema/raw/master/csl-citation.json"} </w:instrText>
      </w:r>
      <w:r w:rsidR="00872127" w:rsidRPr="00872127">
        <w:fldChar w:fldCharType="separate"/>
      </w:r>
      <w:r w:rsidR="00872127" w:rsidRPr="00872127">
        <w:rPr>
          <w:rFonts w:ascii="Calibri" w:hAnsi="Calibri" w:cs="Calibri"/>
        </w:rPr>
        <w:t>(49)</w:t>
      </w:r>
      <w:r w:rsidR="00872127" w:rsidRPr="00872127">
        <w:fldChar w:fldCharType="end"/>
      </w:r>
      <w:r w:rsidRPr="00872127">
        <w:t>, our choice of the NRCBM was not motivated by the surprisingness of the original claims, or by</w:t>
      </w:r>
      <w:r w:rsidRPr="0091599C">
        <w:t xml:space="preserve"> any expectations </w:t>
      </w:r>
      <w:r w:rsidR="00BE0D88" w:rsidRPr="0091599C">
        <w:t xml:space="preserve">(or concerns) </w:t>
      </w:r>
      <w:r w:rsidRPr="0091599C">
        <w:t xml:space="preserve">about the validity of the </w:t>
      </w:r>
      <w:r w:rsidR="00BE0D88" w:rsidRPr="0091599C">
        <w:t>conclusions drawn by the authors</w:t>
      </w:r>
      <w:r w:rsidRPr="0091599C">
        <w:t>. Instead, we chose NRCBM for pragmatic reasons</w:t>
      </w:r>
      <w:r w:rsidR="004E08E5" w:rsidRPr="0091599C">
        <w:t xml:space="preserve"> mostly</w:t>
      </w:r>
      <w:r w:rsidRPr="0091599C">
        <w:t xml:space="preserve">, namely that we were able to gain access to a large sample </w:t>
      </w:r>
      <w:r w:rsidR="00DE51B6" w:rsidRPr="0091599C">
        <w:t xml:space="preserve">from the same </w:t>
      </w:r>
      <w:r w:rsidR="00BE0D88" w:rsidRPr="0091599C">
        <w:t>EHR</w:t>
      </w:r>
      <w:r w:rsidR="00752D9E">
        <w:t xml:space="preserve"> database</w:t>
      </w:r>
      <w:r w:rsidR="00752D9E" w:rsidRPr="00DC16C4">
        <w:rPr>
          <w:rStyle w:val="FootnoteReference"/>
        </w:rPr>
        <w:footnoteReference w:id="1"/>
      </w:r>
      <w:r w:rsidR="00752D9E">
        <w:t xml:space="preserve">. </w:t>
      </w:r>
    </w:p>
    <w:p w14:paraId="1CF58050" w14:textId="5B76EC0A" w:rsidR="008659A1" w:rsidRDefault="00466D80" w:rsidP="00764234">
      <w:r>
        <w:t xml:space="preserve">In their study, NRCBM acquired a fully anonymised matched case control EHRs with details of patients aged between 15 and 24 from </w:t>
      </w:r>
      <w:r w:rsidR="004E08E5">
        <w:t>The Health Information Network database</w:t>
      </w:r>
      <w:r w:rsidR="00A217D4">
        <w:t>, THIN</w:t>
      </w:r>
      <w:r w:rsidR="00A64AFD">
        <w:t xml:space="preserve"> </w:t>
      </w:r>
      <w:r w:rsidR="00A64AFD">
        <w:fldChar w:fldCharType="begin"/>
      </w:r>
      <w:r w:rsidR="00A64AFD">
        <w:instrText xml:space="preserve"> ADDIN ZOTERO_ITEM CSL_CITATION {"citationID":"YF9O9d4e","properties":{"formattedCitation":"(50)","plainCitation":"(50)","noteIndex":0},"citationItems":[{"id":2883,"uris":["http://zotero.org/groups/2383339/items/U87JWJJD"],"itemData":{"id":2883,"type":"webpage","container-title":"Cegedim Health Data","language":"en-GB","note":"source: www.cegedim-health-data.com","title":"Cegedim Health Data -","URL":"https://www.cegedim-health-data.com/","accessed":{"date-parts":[["2020",5,12]]}}}],"schema":"https://github.com/citation-style-language/schema/raw/master/csl-citation.json"} </w:instrText>
      </w:r>
      <w:r w:rsidR="00A64AFD">
        <w:fldChar w:fldCharType="separate"/>
      </w:r>
      <w:r w:rsidR="00A64AFD" w:rsidRPr="00A64AFD">
        <w:rPr>
          <w:rFonts w:ascii="Calibri" w:hAnsi="Calibri" w:cs="Calibri"/>
        </w:rPr>
        <w:t>(50)</w:t>
      </w:r>
      <w:r w:rsidR="00A64AFD">
        <w:fldChar w:fldCharType="end"/>
      </w:r>
      <w:r w:rsidR="00A64AFD">
        <w:t>.</w:t>
      </w:r>
      <w:r w:rsidR="00A217D4">
        <w:t xml:space="preserve"> </w:t>
      </w:r>
      <w:r w:rsidR="00A217D4">
        <w:fldChar w:fldCharType="begin"/>
      </w:r>
      <w:r w:rsidR="00DF3E60">
        <w:instrText xml:space="preserve"> ADDIN ZOTERO_ITEM CSL_CITATION {"citationID":"uMbawxk7","properties":{"formattedCitation":"({\\i{}Cegedim Health Data -}, n.d.)","plainCitation":"(Cegedim Health Data -, n.d.)","dontUpdate":true,"noteIndex":0},"citationItems":[{"id":2883,"uris":["http://zotero.org/groups/2383339/items/U87JWJJD"],"itemData":{"id":2883,"type":"webpage","container-title":"Cegedim Health Data","language":"en-GB","note":"source: www.cegedim-health-data.com","title":"Cegedim Health Data -","URL":"https://www.cegedim-health-data.com/","accessed":{"date-parts":[["2020",5,12]]}}}],"schema":"https://github.com/citation-style-language/schema/raw/master/csl-citation.json"} </w:instrText>
      </w:r>
      <w:r w:rsidR="00000000">
        <w:fldChar w:fldCharType="separate"/>
      </w:r>
      <w:r w:rsidR="00A217D4">
        <w:fldChar w:fldCharType="end"/>
      </w:r>
      <w:r w:rsidR="00A217D4">
        <w:t xml:space="preserve"> </w:t>
      </w:r>
      <w:r w:rsidR="00D86894">
        <w:t xml:space="preserve">The </w:t>
      </w:r>
      <w:r w:rsidR="00D86894">
        <w:lastRenderedPageBreak/>
        <w:t>authors were able to obtain</w:t>
      </w:r>
      <w:r w:rsidR="00051528">
        <w:t xml:space="preserve"> data </w:t>
      </w:r>
      <w:r w:rsidR="00D86894">
        <w:t>that covered</w:t>
      </w:r>
      <w:r w:rsidR="00051528">
        <w:t xml:space="preserve"> the time interval between 1</w:t>
      </w:r>
      <w:r w:rsidR="00051528" w:rsidRPr="00051528">
        <w:rPr>
          <w:vertAlign w:val="superscript"/>
        </w:rPr>
        <w:t>st</w:t>
      </w:r>
      <w:r w:rsidR="00051528">
        <w:t xml:space="preserve"> of January 2000 and </w:t>
      </w:r>
      <w:r w:rsidR="0041582B">
        <w:t>3</w:t>
      </w:r>
      <w:r w:rsidR="00051528">
        <w:t>1</w:t>
      </w:r>
      <w:r w:rsidR="00051528" w:rsidRPr="00051528">
        <w:rPr>
          <w:vertAlign w:val="superscript"/>
        </w:rPr>
        <w:t>st</w:t>
      </w:r>
      <w:r w:rsidR="00051528">
        <w:t xml:space="preserve"> of December 2012. In total, dataset included 67,321 cases and 192,135 controls, with further 31,241 cases and 89,113 controls used for model validation.</w:t>
      </w:r>
      <w:r w:rsidR="00DE51B6">
        <w:t xml:space="preserve"> The authors</w:t>
      </w:r>
      <w:r>
        <w:t xml:space="preserve"> identified an initial set of </w:t>
      </w:r>
      <w:r w:rsidR="00C95D46">
        <w:t xml:space="preserve">54 </w:t>
      </w:r>
      <w:r>
        <w:t>potential predictors of depression</w:t>
      </w:r>
      <w:r w:rsidR="00DE51B6">
        <w:t>,</w:t>
      </w:r>
      <w:r>
        <w:t xml:space="preserve"> based on the teams’ psychiatric and clinical experienc</w:t>
      </w:r>
      <w:r w:rsidR="00C1411A">
        <w:t xml:space="preserve">e of depression in young people and </w:t>
      </w:r>
      <w:r w:rsidR="00C26D78">
        <w:t xml:space="preserve">their knowledge of </w:t>
      </w:r>
      <w:r w:rsidR="00C1411A">
        <w:t xml:space="preserve">other </w:t>
      </w:r>
      <w:r>
        <w:t xml:space="preserve">findings from the </w:t>
      </w:r>
      <w:r w:rsidR="00C26D78">
        <w:t xml:space="preserve">relevant </w:t>
      </w:r>
      <w:r>
        <w:t>literature.</w:t>
      </w:r>
      <w:r w:rsidR="00DE51B6">
        <w:t xml:space="preserve"> The authors reduced their list of predictors based on their prevalence and </w:t>
      </w:r>
      <w:r w:rsidR="00C1411A">
        <w:t>by using</w:t>
      </w:r>
      <w:r w:rsidR="00DE51B6">
        <w:t xml:space="preserve"> a backward-stepwise logistic regression. </w:t>
      </w:r>
      <w:r>
        <w:t xml:space="preserve">NRCBM </w:t>
      </w:r>
      <w:r w:rsidR="00DE51B6">
        <w:t>demonstrated promising results, reporting</w:t>
      </w:r>
      <w:r>
        <w:t xml:space="preserve"> </w:t>
      </w:r>
      <w:r w:rsidR="00DE51B6">
        <w:t xml:space="preserve">average AUC-ROC performance </w:t>
      </w:r>
      <w:r w:rsidR="002451F6">
        <w:t>ranging from 0.699 and 0.719</w:t>
      </w:r>
      <w:r>
        <w:t xml:space="preserve">. </w:t>
      </w:r>
      <w:r w:rsidR="008659A1">
        <w:t xml:space="preserve">The authors further reported a range of symptomatic and socio-economic factors predictive of depression that were common across all models, </w:t>
      </w:r>
      <w:r w:rsidR="00C1411A">
        <w:t>which</w:t>
      </w:r>
      <w:r w:rsidR="008659A1">
        <w:t xml:space="preserve"> included deprivation quintile, smoking status, depression-relevant symptoms (e.g.</w:t>
      </w:r>
      <w:r w:rsidR="000C7B3A">
        <w:t>,</w:t>
      </w:r>
      <w:r w:rsidR="008659A1">
        <w:t xml:space="preserve"> low mood, anxiety), somatic symptoms (e.g.</w:t>
      </w:r>
      <w:r w:rsidR="000C7B3A">
        <w:t>,</w:t>
      </w:r>
      <w:r w:rsidR="008659A1">
        <w:t xml:space="preserve"> headache</w:t>
      </w:r>
      <w:r w:rsidR="00BD7E77">
        <w:t>, back pain</w:t>
      </w:r>
      <w:r w:rsidR="008659A1">
        <w:t xml:space="preserve">), </w:t>
      </w:r>
      <w:r w:rsidR="00BD7E77">
        <w:t>co-morbidities (e.g., diabetes, asthma)</w:t>
      </w:r>
      <w:r w:rsidR="001A6AB6">
        <w:t xml:space="preserve">, family and social factors (e.g., young carer, work stress) </w:t>
      </w:r>
      <w:r w:rsidR="00BD7E77">
        <w:t xml:space="preserve"> </w:t>
      </w:r>
      <w:r w:rsidR="008659A1">
        <w:t>and other psychological conditions (e.g.</w:t>
      </w:r>
      <w:r w:rsidR="000C7B3A">
        <w:t xml:space="preserve">, </w:t>
      </w:r>
      <w:r w:rsidR="00C26D78">
        <w:t>OCD).</w:t>
      </w:r>
    </w:p>
    <w:p w14:paraId="501C0FF1" w14:textId="462C4FAB" w:rsidR="00466D80" w:rsidRDefault="00623A2E" w:rsidP="00764234">
      <w:r>
        <w:t>In the present study,</w:t>
      </w:r>
      <w:r w:rsidR="00466D80">
        <w:t xml:space="preserve"> </w:t>
      </w:r>
      <w:r>
        <w:t>w</w:t>
      </w:r>
      <w:r w:rsidR="00053601">
        <w:t xml:space="preserve">e obtained a new (non-overlapping with the NRCBM dataset) </w:t>
      </w:r>
      <w:r w:rsidR="00466D80">
        <w:t xml:space="preserve">of EHRs </w:t>
      </w:r>
      <w:r w:rsidR="00041329">
        <w:t>data from THIN,</w:t>
      </w:r>
      <w:r w:rsidR="00466D80">
        <w:t xml:space="preserve"> containing cases and matched controls for depression diagnosis among males and females aged between 15 and 24. By following NRCBM’s </w:t>
      </w:r>
      <w:r w:rsidR="00011AAB">
        <w:t>methodology</w:t>
      </w:r>
      <w:r w:rsidR="00466D80">
        <w:t xml:space="preserve">, we </w:t>
      </w:r>
      <w:r w:rsidR="0091686E">
        <w:t>pre-processed</w:t>
      </w:r>
      <w:r w:rsidR="00466D80">
        <w:t xml:space="preserve"> our data and </w:t>
      </w:r>
      <w:r w:rsidR="0091686E">
        <w:t>fitted</w:t>
      </w:r>
      <w:r w:rsidR="00466D80">
        <w:t xml:space="preserve"> new </w:t>
      </w:r>
      <w:r>
        <w:t>regression</w:t>
      </w:r>
      <w:r w:rsidR="00466D80">
        <w:t xml:space="preserve"> models to the </w:t>
      </w:r>
      <w:r w:rsidR="0091686E">
        <w:t xml:space="preserve">four subsets of the </w:t>
      </w:r>
      <w:r w:rsidR="00E95FE7">
        <w:t xml:space="preserve">health </w:t>
      </w:r>
      <w:r w:rsidR="0091686E">
        <w:t>records,</w:t>
      </w:r>
      <w:r w:rsidR="00466D80">
        <w:t xml:space="preserve"> stratified by age and gender. There are two outputs of this analysis. First, we report </w:t>
      </w:r>
      <w:r w:rsidR="00053601">
        <w:t>on our ability</w:t>
      </w:r>
      <w:r w:rsidR="00466D80">
        <w:t xml:space="preserve"> to reproduce </w:t>
      </w:r>
      <w:r w:rsidR="00053601">
        <w:t>each step of the</w:t>
      </w:r>
      <w:r w:rsidR="00466D80">
        <w:t xml:space="preserve"> analytical </w:t>
      </w:r>
      <w:r w:rsidR="00053601">
        <w:t>procedure described by NRCBM. We compare the list of final predictor variables following pre-processing steps outlined by NRCBM, and we also asses</w:t>
      </w:r>
      <w:r w:rsidR="00E95FE7">
        <w:t xml:space="preserve">s the stability of the results from the </w:t>
      </w:r>
      <w:r w:rsidR="00053601">
        <w:t xml:space="preserve">backward-stepwise regression models. Second, we determine whether the main results reported by NRCBM are replicable. To this end, we present AUC-ROC curves from </w:t>
      </w:r>
      <w:r w:rsidR="00C1411A">
        <w:t>the</w:t>
      </w:r>
      <w:r w:rsidR="00053601">
        <w:t xml:space="preserve"> newly fitted models, comparing these to the results </w:t>
      </w:r>
      <w:r w:rsidR="00C1411A">
        <w:t>reported by</w:t>
      </w:r>
      <w:r w:rsidR="00053601">
        <w:t xml:space="preserve"> NRCBM. In addition, we </w:t>
      </w:r>
      <w:r w:rsidR="00502410">
        <w:t xml:space="preserve">also use coefficient estimates </w:t>
      </w:r>
      <w:r w:rsidR="002943DB">
        <w:t>in</w:t>
      </w:r>
      <w:r w:rsidR="00502410">
        <w:t xml:space="preserve"> the original study to make out-of-sample prediction </w:t>
      </w:r>
      <w:r w:rsidR="00431731">
        <w:t>on</w:t>
      </w:r>
      <w:r w:rsidR="00502410">
        <w:t xml:space="preserve"> our own data and we report AUC-ROC curves based on this analysis.</w:t>
      </w:r>
    </w:p>
    <w:p w14:paraId="53C7AD25" w14:textId="77CBFDF4" w:rsidR="00343F53" w:rsidRDefault="00466D80" w:rsidP="00764234">
      <w:r>
        <w:lastRenderedPageBreak/>
        <w:t xml:space="preserve">Although backwards stepwise variable selection is a “traditional” </w:t>
      </w:r>
      <w:r w:rsidR="008305A9">
        <w:fldChar w:fldCharType="begin"/>
      </w:r>
      <w:r w:rsidR="006F2576">
        <w:instrText xml:space="preserve"> ADDIN ZOTERO_ITEM CSL_CITATION {"citationID":"wYPTMkxs","properties":{"formattedCitation":"(51)","plainCitation":"(51)","noteIndex":0},"citationItems":[{"id":6383,"uris":["http://zotero.org/users/5225066/items/EZYEQXP7"],"itemData":{"id":6383,"type":"article-journal","abstract":"How to select variables and identify functional forms for continuous variables is a key concern when creating a multivariable model. Ad hoc ‘traditional’ approaches to variable selection have been in use for at least 50 years. Similarly, methods for determining functional forms for continuous variables were first suggested many years ago. More recently, many alternative approaches to address these two challenges have been proposed, but knowledge of their properties and meaningful comparisons between them are scarce. To define a state of the art and to provide evidence-supported guidance to researchers who have only a basic level of statistical knowledge, many outstanding issues in multivariable modelling remain. Our main aims are to identify and illustrate such gaps in the literature and present them at a moderate technical level to the wide community of practitioners, researchers and students of statistics.","container-title":"Diagnostic and Prognostic Research","DOI":"10.1186/s41512-020-00074-3","ISSN":"2397-7523","issue":"1","journalAbbreviation":"Diagnostic and Prognostic Research","page":"3","source":"BioMed Central","title":"State of the art in selection of variables and functional forms in multivariable analysis—outstanding issues","volume":"4","author":[{"family":"Sauerbrei","given":"Willi"},{"family":"Perperoglou","given":"Aris"},{"family":"Schmid","given":"Matthias"},{"family":"Abrahamowicz","given":"Michal"},{"family":"Becher","given":"Heiko"},{"family":"Binder","given":"Harald"},{"family":"Dunkler","given":"Daniela"},{"family":"Harrell","given":"Frank E."},{"family":"Royston","given":"Patrick"},{"family":"Heinze","given":"Georg"},{"family":"Abrahamowicz","given":"Michal"},{"family":"Becher","given":"Heiko"},{"family":"Binder","given":"Harald"},{"family":"Dunkler","given":"Daniela"},{"family":"Harrell","given":"Frank"},{"family":"Heinze","given":"Georg"},{"family":"Perperoglou","given":"Aris"},{"family":"Rauch","given":"Geraldine"},{"family":"Royston","given":"Patrick"},{"family":"Sauerbrei","given":"Willi"},{"literal":"for TG2 of the STRATOS initiative"}],"issued":{"date-parts":[["2020",4,2]]}}}],"schema":"https://github.com/citation-style-language/schema/raw/master/csl-citation.json"} </w:instrText>
      </w:r>
      <w:r w:rsidR="008305A9">
        <w:fldChar w:fldCharType="separate"/>
      </w:r>
      <w:r w:rsidR="006F2576" w:rsidRPr="006F2576">
        <w:rPr>
          <w:rFonts w:ascii="Calibri" w:hAnsi="Calibri" w:cs="Calibri"/>
        </w:rPr>
        <w:t>(51)</w:t>
      </w:r>
      <w:r w:rsidR="008305A9">
        <w:fldChar w:fldCharType="end"/>
      </w:r>
      <w:r w:rsidR="008305A9">
        <w:t xml:space="preserve"> </w:t>
      </w:r>
      <w:r>
        <w:t>variable selection strategy, it is not without critics</w:t>
      </w:r>
      <w:bookmarkStart w:id="3" w:name="_Hlk138424734"/>
      <w:r w:rsidR="00872127">
        <w:t xml:space="preserve">, e.g. </w:t>
      </w:r>
      <w:r w:rsidR="00872127">
        <w:fldChar w:fldCharType="begin"/>
      </w:r>
      <w:r w:rsidR="00872127">
        <w:instrText xml:space="preserve"> ADDIN ZOTERO_ITEM CSL_CITATION {"citationID":"zxGaZBBf","properties":{"formattedCitation":"(52\\uc0\\u8211{}55)","plainCitation":"(52–55)","noteIndex":0},"citationItems":[{"id":6386,"uris":["http://zotero.org/users/5225066/items/5AA5VSVY"],"itemData":{"id":6386,"type":"article-journal","abstract":"The use of automated subset search algorithms is reviewed and issues concerning model selection and selection criteria are discussed. In addition, a Monte Carlo study is reported which presents data regarding the frequency with which authentic and noise variables are selected by automated subset algorithms. In particular, the effects of the correlation between predictor variables, the number of candidate predictor variables, the size of the sample, and the level of significance for entry and deletion of variables were studied for three automated subset algorithms: BACKWARD ELIMINATION, FORWARD SELECTION, and STEPWISE. Results indicated that: (1) the degree of correlation between the predictor variables affected the frequency with which authentic predictor variables found their way into the final model; (2) the number of candidate predictor variables affected the number of noise variables that gained entry to the model; (3) the size of the sample was of little practical importance in determining the number of authentic variables contained in the final model; and (4) the population multiple coefficient of determination could be faithfully estimated by adopting a statistic that is adjusted by the total number of candidate predictor variables rather than the number of variables in the final model.","container-title":"British Journal of Mathematical and Statistical Psychology","DOI":"10.1111/j.2044-8317.1992.tb00992.x","ISSN":"2044-8317","issue":"2","language":"en","note":"_eprint: https://onlinelibrary.wiley.com/doi/pdf/10.1111/j.2044-8317.1992.tb00992.x","page":"265-282","source":"Wiley Online Library","title":"Backward, forward and stepwise automated subset selection algorithms: Frequency of obtaining authentic and noise variables","title-short":"Backward, forward and stepwise automated subset selection algorithms","volume":"45","author":[{"family":"Derksen","given":"Shelley"},{"family":"Keselman","given":"H. J."}],"issued":{"date-parts":[["1992"]]}}},{"id":6388,"uris":["http://zotero.org/users/5225066/items/5EWZMRGQ"],"itemData":{"id":6388,"type":"article-journal","abstract":"Multivariable regression models are powerful tools that are used frequently in studies of clinical outcomes. These models can use a mixture of categorical and continuous variables and can handle partially observed (censored) responses. However, uncritical application of modelling techniques can result in models that poorly fit the dataset at hand, or, even more likely, inaccurately predict outcomes on new subjects. One must know how to measure qualities of a model's fit in order to avoid poorly fitted or overfitted models. Measurement of predictive accuracy can be difficult for survival time data in the presence of censoring. We discuss an easily interpretable index of predictive discrimination as well as methods for assessing calibration of predicted survival probabilities. Both types of predictive accuracy should be unbiasedly validated using bootstrapping or cross-validation, before using predictions in a new data series. We discuss some of the hazards of poorly fitted and overfitted regression models and present one modelling strategy that avoids many of the problems discussed. The methods described are applicable to all regression models, but are particularly needed for binary, ordinal, and time-to-event outcomes. Methods are illustrated with a survival analysis in prostate cancer using Cox regression.","container-title":"Statistics in Medicine","DOI":"10.1002/(SICI)1097-0258(19960229)15:4&lt;361::AID-SIM168&gt;3.0.CO;2-4","ISSN":"1097-0258","issue":"4","language":"en","note":"_eprint: https://onlinelibrary.wiley.com/doi/pdf/10.1002/%28SICI%291097-0258%2819960229%2915%3A4%3C361%3A%3AAID-SIM168%3E3.0.CO%3B2-4","page":"361-387","source":"Wiley Online Library","title":"Multivariable Prognostic Models: Issues in Developing Models, Evaluating Assumptions and Adequacy, and Measuring and Reducing Errors","title-short":"Multivariable Prognostic Models","volume":"15","author":[{"family":"HARRELL Jr.","given":"Frank E."},{"family":"Lee","given":"Kerry L."},{"family":"Mark","given":"Daniel B."}],"issued":{"date-parts":[["1996"]]}}},{"id":6473,"uris":["http://zotero.org/users/5225066/items/AH4DACFP"],"itemData":{"id":6473,"type":"article-journal","abstract":"Clinical prediction models provide risk estimates for the presence of disease (diagnosis) or an event in the future course of disease (prognosis) for individual patients. Although publications that present and evaluate such models are becoming more frequent, the methodology is often suboptimal. We propose that seven steps should be considered in developing prediction models: (i) consideration of the research question and initial data inspection; (ii) coding of predictors; (iii) model specification; (iv) model estimation; (v) evaluation of model performance; (vi) internal validation; and (vii) model presentation. The validity of a prediction model is ideally assessed in fully independent data, where we propose four key measures to evaluate model performance: calibration-in-the-large, or the model intercept (A); calibration slope (B); discrimination, with a concordance statistic (C); and clinical usefulness, with decision-curve analysis (D). As an application, we develop and validate prediction models for 30-day mortality in patients with an acute myocardial infarction. This illustrates the usefulness of the proposed framework to strengthen the methodological rigour and quality for prediction models in cardiovascular research.","container-title":"European Heart Journal","DOI":"10.1093/eurheartj/ehu207","ISSN":"0195-668X","issue":"29","journalAbbreviation":"European Heart Journal","page":"1925-1931","source":"Silverchair","title":"Towards better clinical prediction models: seven steps for development and an ABCD for validation","title-short":"Towards better clinical prediction models","volume":"35","author":[{"family":"Steyerberg","given":"Ewout W."},{"family":"Vergouwe","given":"Yvonne"}],"issued":{"date-parts":[["2014",8,1]]}}},{"id":6392,"uris":["http://zotero.org/users/5225066/items/LEQJWQH3"],"itemData":{"id":6392,"type":"article-journal","abstract":"Some research studies in the medical literature use multiple stepwise variable selection (SVS) algorithms to build multivariable models. The purpose of this study is to determine whether the use of multiple SVS algorithms in tandem (stepwise agreement) is a valid variable selection procedure. Computer simulations were developed to address stepwise agreement. Three popular SVS algorithms were tested (backward elimination, forward selection, and stepwise) on three statistical methods (linear, logistic, and Cox proportional hazards regression). Other simulation parameters explored were the sample size, number of predictors considered, degree of correlation between pairs of predictors, p-value-based entrance and exit criteria, predictor type (normally distributed or binary), and differences between stepwise agreement between any two or all three algorithms. Among stepwise methods, the rate of agreement, agreement on a model including only those predictors truly associated with the outcome, and agreement on a model containing the predictors truly associated with the outcome were measured. These rates were dependent on all simulation parameters. Mostly, the SVS algorithms agreed on a final model, but rarely on a model with only the true predictors. Sample size and candidate predictor pool size are the most influential simulation conditions. To conclude, stepwise agreement is often a poor strategy that gives misleading results and researchers should avoid using multiple SVS algorithms to build multivariable models. More research on the relationship between sample size and variable selection is needed. Published in 2010 by John Wiley &amp; Sons, Ltd.","container-title":"Statistics in Medicine","DOI":"10.1002/sim.3943","ISSN":"1097-0258","issue":"15","language":"en","note":"_eprint: https://onlinelibrary.wiley.com/doi/pdf/10.1002/sim.3943","page":"1647-1659","source":"Wiley Online Library","title":"Performance of using multiple stepwise algorithms for variable selection","volume":"29","author":[{"family":"Wiegand","given":"Ryan E."}],"issued":{"date-parts":[["2010"]]}}}],"schema":"https://github.com/citation-style-language/schema/raw/master/csl-citation.json"} </w:instrText>
      </w:r>
      <w:r w:rsidR="00872127">
        <w:fldChar w:fldCharType="separate"/>
      </w:r>
      <w:r w:rsidR="00872127" w:rsidRPr="00872127">
        <w:rPr>
          <w:rFonts w:ascii="Calibri" w:hAnsi="Calibri" w:cs="Calibri"/>
          <w:szCs w:val="24"/>
        </w:rPr>
        <w:t>(52–55)</w:t>
      </w:r>
      <w:r w:rsidR="00872127">
        <w:fldChar w:fldCharType="end"/>
      </w:r>
      <w:r>
        <w:t xml:space="preserve">. </w:t>
      </w:r>
      <w:bookmarkEnd w:id="3"/>
      <w:r>
        <w:t xml:space="preserve">Among the main complaints about stepwise procedures are that the selection of variables can be unstable, that stepwise procedure not necessarily selects the most important variables, and that stepwise procedures do not show the best prediction performance. Whereas the first of these issues can be addressed with a replication of NRCBM’s </w:t>
      </w:r>
      <w:r w:rsidR="008C14AF">
        <w:t>methodology</w:t>
      </w:r>
      <w:r>
        <w:t xml:space="preserve">, the latter two issues require the consideration of additional methods. Our secondary objective therefore is to extend the efforts of NRCBM to go beyond the stepwise </w:t>
      </w:r>
      <w:r w:rsidR="003974CD">
        <w:t>logistic regression</w:t>
      </w:r>
      <w:r>
        <w:t xml:space="preserve"> model and make comparisons with more advanced classification methods from the ML literature</w:t>
      </w:r>
      <w:r w:rsidR="004A77F3">
        <w:t xml:space="preserve"> to predict depression</w:t>
      </w:r>
      <w:r>
        <w:t xml:space="preserve">. A range of different techniques were evaluated including LASSO (Least Absolute Shrinkage Selection Operator); Random Forest; Gradient Boosting; </w:t>
      </w:r>
      <w:proofErr w:type="spellStart"/>
      <w:r>
        <w:t>XGBoost</w:t>
      </w:r>
      <w:proofErr w:type="spellEnd"/>
      <w:r>
        <w:t xml:space="preserve">; </w:t>
      </w:r>
      <w:proofErr w:type="spellStart"/>
      <w:r>
        <w:t>Rpart</w:t>
      </w:r>
      <w:proofErr w:type="spellEnd"/>
      <w:r>
        <w:t>; and PRE (Prediction Rules Ensembles). All these models were assessed against the same criteria as t</w:t>
      </w:r>
      <w:r w:rsidR="002943DB">
        <w:t xml:space="preserve">he </w:t>
      </w:r>
      <w:r w:rsidR="003974CD">
        <w:t>logistic regression</w:t>
      </w:r>
      <w:r w:rsidR="002943DB">
        <w:t xml:space="preserve"> models.</w:t>
      </w:r>
    </w:p>
    <w:p w14:paraId="629D927B" w14:textId="049C0A24" w:rsidR="00B75E9D" w:rsidRDefault="00B75E9D" w:rsidP="00764234">
      <w:pPr>
        <w:pStyle w:val="Heading1"/>
      </w:pPr>
      <w:r>
        <w:t>Methods</w:t>
      </w:r>
    </w:p>
    <w:p w14:paraId="514243B3" w14:textId="59B4274F" w:rsidR="00FB5C52" w:rsidRDefault="00FB5C52" w:rsidP="00764234">
      <w:r>
        <w:t xml:space="preserve">Our methods section is structured as follows. We first provide an overview of the methods reported by NRCBM. We report on how the authors obtained and pre-processed the data prior to fitting their regression models. </w:t>
      </w:r>
      <w:r w:rsidR="00946D66">
        <w:t>In the second part, w</w:t>
      </w:r>
      <w:r>
        <w:t xml:space="preserve">e follow the same </w:t>
      </w:r>
      <w:r w:rsidR="00946D66">
        <w:t>structure when discussing our own data and analysis.</w:t>
      </w:r>
    </w:p>
    <w:p w14:paraId="54CEFF23" w14:textId="7856A73B" w:rsidR="00427130" w:rsidRPr="00393AEC" w:rsidRDefault="00427130" w:rsidP="00764234">
      <w:pPr>
        <w:rPr>
          <w:color w:val="0070C0"/>
        </w:rPr>
      </w:pPr>
      <w:r w:rsidRPr="00393AEC">
        <w:rPr>
          <w:color w:val="0070C0"/>
        </w:rPr>
        <w:t xml:space="preserve">In replicating this </w:t>
      </w:r>
      <w:r w:rsidR="000D0AE4" w:rsidRPr="00393AEC">
        <w:rPr>
          <w:color w:val="0070C0"/>
        </w:rPr>
        <w:t>study,</w:t>
      </w:r>
      <w:r w:rsidRPr="00393AEC">
        <w:rPr>
          <w:color w:val="0070C0"/>
        </w:rPr>
        <w:t xml:space="preserve"> we have followed the guidelines given in the Transparent reporting of a multivariable prediction model (TRIPOD) for individual prognosis or diagnosis</w:t>
      </w:r>
      <w:r w:rsidR="00936AF8" w:rsidRPr="00393AEC">
        <w:rPr>
          <w:color w:val="0070C0"/>
        </w:rPr>
        <w:fldChar w:fldCharType="begin"/>
      </w:r>
      <w:r w:rsidR="00936AF8" w:rsidRPr="00393AEC">
        <w:rPr>
          <w:color w:val="0070C0"/>
        </w:rPr>
        <w:instrText xml:space="preserve"> ADDIN ZOTERO_ITEM CSL_CITATION {"citationID":"ZHupI4YL","properties":{"formattedCitation":"(56)","plainCitation":"(56)","noteIndex":0},"citationItems":[{"id":141,"uris":["http://zotero.org/users/5225066/items/4EFX9BBU"],"itemData":{"id":141,"type":"article-journal","abstract":"Prediction models are developed to aid health care providers in estimating the probability or risk that a specific disease or condition is present (diagnostic models) or that a specific event will occur in the future (prognostic models), to inform their decision making. However, the overwhelming evidence shows that the quality of reporting of prediction model studies is poor. Only with full and clear reporting of information on all aspects of a prediction model can risk of bias and potential usefulness of prediction models be adequately assessed. The Transparent Reporting of a multivariable prediction model for Individual Prognosis Or Diagnosis (TRIPOD) Initiative developed a set of recommendations for the reporting of studies developing, validating, or updating a prediction model, whether for diagnostic or prognostic purposes. This article describes how the TRIPOD Statement was developed. An extensive list of items based on a review of the literature was created, which was reduced after a Web based survey and revised during a three day meeting in June 2011 with methodologists, health care professionals, and journal editors. The list was refined during several meetings of the steering group and in e-mail discussions with the wider group of TRIPOD contributors. The resulting TRIPOD Statement is a checklist of 22 items, deemed essential for transparent reporting of a prediction model study. The TRIPOD Statement aims to improve the transparency of the reporting of a prediction model study regardless of the study methods used. The TRIPOD Statement is best used in conjunction with the TRIPOD explanation and elaboration document. To aid the editorial process and readers of prediction model studies, it is recommended that authors include a completed checklist in their submission (also available at www.tripod-statement.org). To encourage dissemination of the TRIPOD Statement, this article is freely accessible on the Annals of Internal Medicine Web site (www.annals.org) and will be also published in BJOG, British Journal of Cancer, British Journal of Surgery, BMC Medicine, The BMJ, Circulation, Diabetic Medicine, European Journal of Clinical Investigation, European Urology, and Journal of Clinical Epidemiology. The authors jointly hold the copyright of this article. An accompanying explanation and elaboration article is freely available only on www.annals.org; Annals of Internal Medicine holds copyright for that article.","container-title":"BMJ: British Medical Journal","ISSN":"0959-8138","note":"publisher: BMJ","source":"JSTOR","title":"Transparent reporting of a multivariable prediction model for individual prognosis or diagnosis (TRIPOD): the TRIPOD statement","title-short":"Transparent reporting of a multivariable prediction model for individual prognosis or diagnosis (TRIPOD)","URL":"https://www.jstor.org/stable/26517836","volume":"350","author":[{"family":"Collins","given":"Gary S"},{"family":"Reitsma","given":"Johannes B"},{"family":"Altman","given":"Douglas G"},{"family":"Moons","given":"Karel G M"}],"accessed":{"date-parts":[["2021",4,26]]},"issued":{"date-parts":[["2015"]]}}}],"schema":"https://github.com/citation-style-language/schema/raw/master/csl-citation.json"} </w:instrText>
      </w:r>
      <w:r w:rsidR="00936AF8" w:rsidRPr="00393AEC">
        <w:rPr>
          <w:color w:val="0070C0"/>
        </w:rPr>
        <w:fldChar w:fldCharType="separate"/>
      </w:r>
      <w:r w:rsidR="00936AF8" w:rsidRPr="00393AEC">
        <w:rPr>
          <w:rFonts w:ascii="Calibri" w:hAnsi="Calibri" w:cs="Calibri"/>
          <w:color w:val="0070C0"/>
        </w:rPr>
        <w:t>(56)</w:t>
      </w:r>
      <w:r w:rsidR="00936AF8" w:rsidRPr="00393AEC">
        <w:rPr>
          <w:color w:val="0070C0"/>
        </w:rPr>
        <w:fldChar w:fldCharType="end"/>
      </w:r>
      <w:r w:rsidRPr="00393AEC">
        <w:rPr>
          <w:color w:val="0070C0"/>
        </w:rPr>
        <w:t>.</w:t>
      </w:r>
    </w:p>
    <w:p w14:paraId="74C56759" w14:textId="0757E03D" w:rsidR="003D6733" w:rsidRDefault="003D6733" w:rsidP="00764234">
      <w:pPr>
        <w:pStyle w:val="Heading2"/>
      </w:pPr>
      <w:r>
        <w:t>NRCBM</w:t>
      </w:r>
    </w:p>
    <w:p w14:paraId="43D35391" w14:textId="374FEED8" w:rsidR="003D6733" w:rsidRPr="008672A4" w:rsidRDefault="003D6733" w:rsidP="00764234">
      <w:pPr>
        <w:pStyle w:val="Heading3"/>
      </w:pPr>
      <w:r w:rsidRPr="008672A4">
        <w:t>Data</w:t>
      </w:r>
    </w:p>
    <w:p w14:paraId="1026A316" w14:textId="4E21AA3A" w:rsidR="00D2531F" w:rsidRDefault="003D6733" w:rsidP="00764234">
      <w:r>
        <w:t xml:space="preserve">NRCBM obtained their data from The Health Improvement Network (THIN), a database of anonymised primary care records in the UK. </w:t>
      </w:r>
      <w:r w:rsidR="00B84155">
        <w:t>The obtained dataset comprised records gathered between 1</w:t>
      </w:r>
      <w:r w:rsidR="0009686C" w:rsidRPr="0009686C">
        <w:rPr>
          <w:vertAlign w:val="superscript"/>
        </w:rPr>
        <w:t>st</w:t>
      </w:r>
      <w:r w:rsidR="0009686C">
        <w:t xml:space="preserve"> of</w:t>
      </w:r>
      <w:r w:rsidR="00B84155">
        <w:t xml:space="preserve"> January 2000 and </w:t>
      </w:r>
      <w:r w:rsidR="00F50C88">
        <w:t>3</w:t>
      </w:r>
      <w:r w:rsidR="00B84155">
        <w:t>1</w:t>
      </w:r>
      <w:r w:rsidR="0009686C" w:rsidRPr="0009686C">
        <w:rPr>
          <w:vertAlign w:val="superscript"/>
        </w:rPr>
        <w:t>st</w:t>
      </w:r>
      <w:r w:rsidR="0009686C">
        <w:t xml:space="preserve"> of</w:t>
      </w:r>
      <w:r w:rsidR="00B84155">
        <w:t xml:space="preserve"> December 2012</w:t>
      </w:r>
      <w:r w:rsidR="00857537">
        <w:t>,</w:t>
      </w:r>
      <w:r w:rsidR="00B84155">
        <w:t xml:space="preserve"> </w:t>
      </w:r>
      <w:r w:rsidR="00857537">
        <w:t>and included data from</w:t>
      </w:r>
      <w:r w:rsidR="00B84155">
        <w:t xml:space="preserve"> </w:t>
      </w:r>
      <w:r w:rsidR="00857537">
        <w:t xml:space="preserve">individuals between </w:t>
      </w:r>
      <w:r w:rsidR="00857537">
        <w:lastRenderedPageBreak/>
        <w:t>15 and 24 years of age</w:t>
      </w:r>
      <w:r w:rsidR="00B73DB6">
        <w:t xml:space="preserve"> who were registered at a given practice for at least one year in that period</w:t>
      </w:r>
      <w:r w:rsidR="00857537">
        <w:t>.</w:t>
      </w:r>
      <w:r w:rsidR="0035712D">
        <w:t xml:space="preserve"> </w:t>
      </w:r>
      <w:r w:rsidR="00B73DB6">
        <w:t xml:space="preserve">Data initially included records from 564 practices that were eligible by having at least one year’s worth of EHRs in the period specified above. </w:t>
      </w:r>
    </w:p>
    <w:p w14:paraId="4C4C1D60" w14:textId="16476264" w:rsidR="005D591C" w:rsidRDefault="00D2531F" w:rsidP="00764234">
      <w:r>
        <w:t xml:space="preserve">The depression case was defined in terms of a combination of National Health Service (NHS) Read codes </w:t>
      </w:r>
      <w:r w:rsidR="00473798">
        <w:fldChar w:fldCharType="begin"/>
      </w:r>
      <w:r w:rsidR="00936AF8">
        <w:instrText xml:space="preserve"> ADDIN ZOTERO_ITEM CSL_CITATION {"citationID":"eOOUNWW5","properties":{"formattedCitation":"(57)","plainCitation":"(57)","noteIndex":0},"citationItems":[{"id":13,"uris":["http://zotero.org/users/5225066/items/EEK37EAD"],"itemData":{"id":13,"type":"webpage","title":"SCIMP Guide to Read Codes | Primary Care Informatics","URL":"https://www.scimp.scot.nhs.uk/better-information/clinical-coding/scimp-guide-to-read-codes","accessed":{"date-parts":[["2021",11,12]]}}}],"schema":"https://github.com/citation-style-language/schema/raw/master/csl-citation.json"} </w:instrText>
      </w:r>
      <w:r w:rsidR="00473798">
        <w:fldChar w:fldCharType="separate"/>
      </w:r>
      <w:r w:rsidR="00936AF8" w:rsidRPr="00936AF8">
        <w:rPr>
          <w:rFonts w:ascii="Calibri" w:hAnsi="Calibri" w:cs="Calibri"/>
        </w:rPr>
        <w:t>(57)</w:t>
      </w:r>
      <w:r w:rsidR="00473798">
        <w:fldChar w:fldCharType="end"/>
      </w:r>
      <w:r>
        <w:t xml:space="preserve"> and/or the prescription of an antidepressant</w:t>
      </w:r>
      <w:r w:rsidR="009B1689">
        <w:t xml:space="preserve"> (see NRCBM for details)</w:t>
      </w:r>
      <w:r>
        <w:t>.</w:t>
      </w:r>
      <w:r w:rsidR="00771AD0">
        <w:t xml:space="preserve"> In their data preparation stage, </w:t>
      </w:r>
      <w:r w:rsidR="00B73DB6">
        <w:t xml:space="preserve">NRCBM excluded patients with diagnosis of psychosis, bipolar disorder, and hypomania. </w:t>
      </w:r>
      <w:r w:rsidR="00C84A58">
        <w:t xml:space="preserve">Furthermore, patients with a history of depression, who were diagnosed before the </w:t>
      </w:r>
      <w:r w:rsidR="009C4622">
        <w:t>beginning of the study period (1</w:t>
      </w:r>
      <w:r w:rsidR="009C4622" w:rsidRPr="00F50C88">
        <w:rPr>
          <w:vertAlign w:val="superscript"/>
        </w:rPr>
        <w:t>st</w:t>
      </w:r>
      <w:r w:rsidR="009C4622">
        <w:t xml:space="preserve"> January 2000 – 21</w:t>
      </w:r>
      <w:r w:rsidR="009C4622" w:rsidRPr="00F50C88">
        <w:rPr>
          <w:vertAlign w:val="superscript"/>
        </w:rPr>
        <w:t>st</w:t>
      </w:r>
      <w:r w:rsidR="009C4622">
        <w:t xml:space="preserve"> of December 2012)</w:t>
      </w:r>
      <w:r w:rsidR="00F96B07">
        <w:t>, and those who</w:t>
      </w:r>
      <w:r w:rsidR="00C84A58">
        <w:t xml:space="preserve"> were diagnosed before the age of 15, were all excluded from the group of pote</w:t>
      </w:r>
      <w:r w:rsidR="00F96B07">
        <w:t xml:space="preserve">ntial cases </w:t>
      </w:r>
      <w:r w:rsidR="00C84A58">
        <w:t>(see Figure 1 in NRCBM for further details).</w:t>
      </w:r>
      <w:r w:rsidR="00F50C88">
        <w:t xml:space="preserve"> </w:t>
      </w:r>
      <w:r w:rsidR="00B73DB6">
        <w:t xml:space="preserve">After excluding patients </w:t>
      </w:r>
      <w:proofErr w:type="gramStart"/>
      <w:r w:rsidR="00B73DB6">
        <w:t>on the basis of</w:t>
      </w:r>
      <w:proofErr w:type="gramEnd"/>
      <w:r w:rsidR="00B73DB6">
        <w:t xml:space="preserve"> these criteria, the NRCBM data included </w:t>
      </w:r>
      <w:r w:rsidR="00B84155">
        <w:t>98,562 cases and 281,248 controls matched by practice, index date (</w:t>
      </w:r>
      <w:r w:rsidR="0035712D">
        <w:t xml:space="preserve">i.e., </w:t>
      </w:r>
      <w:r w:rsidR="00611900">
        <w:t>the date of diagnosis of the case</w:t>
      </w:r>
      <w:r w:rsidR="00B84155">
        <w:t xml:space="preserve">), gender, and age (up to ± 3 years). </w:t>
      </w:r>
      <w:r w:rsidR="0035712D">
        <w:t>The final dataset had a</w:t>
      </w:r>
      <w:r w:rsidR="00B84155">
        <w:t xml:space="preserve"> 1:2.85 </w:t>
      </w:r>
      <w:r w:rsidR="0035712D">
        <w:t>case to control ratio</w:t>
      </w:r>
      <w:r w:rsidR="00B84155">
        <w:t>.</w:t>
      </w:r>
      <w:r w:rsidR="005D591C" w:rsidRPr="005D591C">
        <w:t xml:space="preserve"> </w:t>
      </w:r>
    </w:p>
    <w:p w14:paraId="31C715B2" w14:textId="641421FE" w:rsidR="00C15A7E" w:rsidRPr="003572E1" w:rsidRDefault="00E568E7" w:rsidP="00764234">
      <w:r>
        <w:t>F</w:t>
      </w:r>
      <w:r w:rsidR="00C15A7E">
        <w:t xml:space="preserve">irst </w:t>
      </w:r>
      <w:r>
        <w:t>NRCBM identified</w:t>
      </w:r>
      <w:r w:rsidR="00C15A7E">
        <w:t xml:space="preserve"> a set of “exposure variables” (or predictors) for depression</w:t>
      </w:r>
      <w:r w:rsidR="00E374FB">
        <w:t>.</w:t>
      </w:r>
      <w:r>
        <w:t xml:space="preserve"> </w:t>
      </w:r>
      <w:r w:rsidR="00E374FB">
        <w:t>T</w:t>
      </w:r>
      <w:r>
        <w:t xml:space="preserve">hese were defined in term of a combination of Read/drug codes </w:t>
      </w:r>
      <w:r w:rsidR="00E374FB">
        <w:t>and were</w:t>
      </w:r>
      <w:r w:rsidR="00C15A7E">
        <w:t xml:space="preserve"> grouped in the following categories: </w:t>
      </w:r>
      <w:r w:rsidR="007A42BB">
        <w:t xml:space="preserve">social deprivation, depression symptoms, somatic symptoms, co-morbidities, and family/social factors. </w:t>
      </w:r>
      <w:r w:rsidR="00C15A7E">
        <w:t xml:space="preserve">The individual predictors are listed in </w:t>
      </w:r>
      <w:r w:rsidR="00990B09">
        <w:t>Appendix A</w:t>
      </w:r>
      <w:r w:rsidR="00B716E6">
        <w:t xml:space="preserve">, </w:t>
      </w:r>
      <w:r w:rsidR="00B716E6" w:rsidRPr="00B716E6">
        <w:rPr>
          <w:color w:val="0070C0"/>
        </w:rPr>
        <w:t>Table 4</w:t>
      </w:r>
      <w:r w:rsidR="00990B09" w:rsidRPr="00B716E6">
        <w:rPr>
          <w:color w:val="0070C0"/>
        </w:rPr>
        <w:t>.</w:t>
      </w:r>
    </w:p>
    <w:p w14:paraId="246F09F2" w14:textId="3A65DA63" w:rsidR="00833AE4" w:rsidRDefault="00611900" w:rsidP="00764234">
      <w:r>
        <w:t xml:space="preserve">NRCBM </w:t>
      </w:r>
      <w:r w:rsidR="00C15A7E">
        <w:t xml:space="preserve">then </w:t>
      </w:r>
      <w:r w:rsidRPr="00027B09">
        <w:t xml:space="preserve">identified the prevalence of </w:t>
      </w:r>
      <w:r w:rsidR="00C15A7E">
        <w:t>the</w:t>
      </w:r>
      <w:r w:rsidRPr="00027B09">
        <w:t xml:space="preserve"> pre-</w:t>
      </w:r>
      <w:r>
        <w:t>selected</w:t>
      </w:r>
      <w:r w:rsidRPr="00027B09">
        <w:t xml:space="preserve"> </w:t>
      </w:r>
      <w:r w:rsidR="00C15A7E">
        <w:t xml:space="preserve">predictor variables </w:t>
      </w:r>
      <w:r>
        <w:t xml:space="preserve">which </w:t>
      </w:r>
      <w:r w:rsidRPr="00027B09">
        <w:t>w</w:t>
      </w:r>
      <w:r>
        <w:t>ere</w:t>
      </w:r>
      <w:r w:rsidRPr="00027B09">
        <w:t xml:space="preserve"> used in a two-step process</w:t>
      </w:r>
      <w:r w:rsidR="002C23F3">
        <w:t xml:space="preserve">. In </w:t>
      </w:r>
      <w:r w:rsidR="002E2CB6">
        <w:t>the first</w:t>
      </w:r>
      <w:r w:rsidR="000A03B9">
        <w:t xml:space="preserve"> </w:t>
      </w:r>
      <w:r w:rsidR="002C23F3">
        <w:t xml:space="preserve">step, the authors removed predictors that were present in less than 0.02% of the </w:t>
      </w:r>
      <w:r w:rsidR="000C7406">
        <w:t xml:space="preserve">combined </w:t>
      </w:r>
      <w:r w:rsidR="002C23F3">
        <w:t xml:space="preserve">case </w:t>
      </w:r>
      <w:r w:rsidR="000C7406">
        <w:t xml:space="preserve">and </w:t>
      </w:r>
      <w:r w:rsidR="002C23F3">
        <w:t>control population</w:t>
      </w:r>
      <w:r w:rsidR="00F96B07" w:rsidRPr="00DC16C4">
        <w:rPr>
          <w:rStyle w:val="FootnoteReference"/>
        </w:rPr>
        <w:footnoteReference w:id="2"/>
      </w:r>
      <w:r w:rsidR="002C23F3">
        <w:t xml:space="preserve">. </w:t>
      </w:r>
      <w:r w:rsidR="00833AE4" w:rsidRPr="00027B09">
        <w:t xml:space="preserve">The second step was to use </w:t>
      </w:r>
      <w:r w:rsidR="00833AE4">
        <w:t>backwards-</w:t>
      </w:r>
      <w:r w:rsidR="00833AE4" w:rsidRPr="00027B09">
        <w:t xml:space="preserve">stepwise </w:t>
      </w:r>
      <w:r w:rsidR="003974CD">
        <w:t>logistic regression</w:t>
      </w:r>
      <w:r w:rsidR="00833AE4">
        <w:t xml:space="preserve"> </w:t>
      </w:r>
      <w:r w:rsidR="00383A8F">
        <w:t>on the four samples (split by gender and age (15-18, 19-24))</w:t>
      </w:r>
      <w:r w:rsidR="00833AE4" w:rsidRPr="00027B09">
        <w:t xml:space="preserve"> to down select from the remaining predictors</w:t>
      </w:r>
      <w:r w:rsidR="00833AE4">
        <w:t xml:space="preserve"> based on significance levels (</w:t>
      </w:r>
      <w:r w:rsidR="00833AE4" w:rsidRPr="00383A8F">
        <w:rPr>
          <w:i/>
        </w:rPr>
        <w:t>p</w:t>
      </w:r>
      <w:r w:rsidR="00833AE4">
        <w:t xml:space="preserve">-values </w:t>
      </w:r>
      <w:r w:rsidR="00833AE4">
        <w:rPr>
          <w:rFonts w:cs="Arial"/>
        </w:rPr>
        <w:t>≤</w:t>
      </w:r>
      <w:r w:rsidR="00833AE4">
        <w:t xml:space="preserve"> 0.01).</w:t>
      </w:r>
      <w:r w:rsidR="00505063">
        <w:t xml:space="preserve"> </w:t>
      </w:r>
    </w:p>
    <w:p w14:paraId="491605B5" w14:textId="1D96963D" w:rsidR="00383A8F" w:rsidRDefault="00383A8F" w:rsidP="00764234">
      <w:pPr>
        <w:pStyle w:val="Heading3"/>
      </w:pPr>
      <w:r>
        <w:lastRenderedPageBreak/>
        <w:t>Analysis</w:t>
      </w:r>
    </w:p>
    <w:p w14:paraId="350E770E" w14:textId="46675AD6" w:rsidR="00383A8F" w:rsidRPr="00024419" w:rsidRDefault="00383A8F" w:rsidP="00764234">
      <w:pPr>
        <w:rPr>
          <w:b/>
          <w:i/>
        </w:rPr>
      </w:pPr>
      <w:r>
        <w:t xml:space="preserve">In </w:t>
      </w:r>
      <w:r w:rsidR="002223AA">
        <w:t xml:space="preserve">the analysis performed by NRCBM, a backward </w:t>
      </w:r>
      <w:r>
        <w:t xml:space="preserve">stepwise </w:t>
      </w:r>
      <w:r w:rsidR="003974CD">
        <w:t>logistic regression</w:t>
      </w:r>
      <w:r>
        <w:t xml:space="preserve"> (</w:t>
      </w:r>
      <w:r w:rsidR="002E2CB6">
        <w:t xml:space="preserve">using </w:t>
      </w:r>
      <w:r>
        <w:t xml:space="preserve">STATA, </w:t>
      </w:r>
      <w:r w:rsidRPr="00DA241E">
        <w:t>version 12)</w:t>
      </w:r>
      <w:r>
        <w:t xml:space="preserve"> was </w:t>
      </w:r>
      <w:r w:rsidR="00461FD3">
        <w:t>fitted to the training set for each group (</w:t>
      </w:r>
      <w:r w:rsidR="0049446C">
        <w:t xml:space="preserve">using </w:t>
      </w:r>
      <w:r w:rsidR="00461FD3">
        <w:t>67% of data in total). The main reported results include odds ratios for each predictor in the analysis, and AUC-ROC curves, which were obtained by cross validating each model against the remaining 33% of the data</w:t>
      </w:r>
      <w:r w:rsidR="00461FD3" w:rsidRPr="00DC16C4">
        <w:rPr>
          <w:rStyle w:val="FootnoteReference"/>
        </w:rPr>
        <w:footnoteReference w:id="3"/>
      </w:r>
      <w:r w:rsidR="00461FD3">
        <w:t>.</w:t>
      </w:r>
    </w:p>
    <w:p w14:paraId="5E2FDA7E" w14:textId="79858415" w:rsidR="002943DB" w:rsidRDefault="00711E3E" w:rsidP="00764234">
      <w:pPr>
        <w:pStyle w:val="Heading2"/>
      </w:pPr>
      <w:r w:rsidRPr="00711E3E">
        <w:t>Replication</w:t>
      </w:r>
    </w:p>
    <w:p w14:paraId="79FC54A0" w14:textId="77777777" w:rsidR="00711E3E" w:rsidRDefault="00711E3E" w:rsidP="00764234">
      <w:pPr>
        <w:pStyle w:val="Heading3"/>
      </w:pPr>
      <w:r>
        <w:t>Data</w:t>
      </w:r>
    </w:p>
    <w:p w14:paraId="1400589A" w14:textId="561BC988" w:rsidR="00A33CBC" w:rsidRDefault="0009686C" w:rsidP="00764234">
      <w:bookmarkStart w:id="4" w:name="_Hlk136334858"/>
      <w:r w:rsidRPr="0091599C">
        <w:t>New dataset was obtained</w:t>
      </w:r>
      <w:r>
        <w:t xml:space="preserve"> from </w:t>
      </w:r>
      <w:r w:rsidR="00C67C19">
        <w:t>THIN</w:t>
      </w:r>
      <w:r>
        <w:t xml:space="preserve"> for the purpose of this replication</w:t>
      </w:r>
      <w:r w:rsidR="00B36FA0">
        <w:t xml:space="preserve"> project</w:t>
      </w:r>
      <w:r>
        <w:t>. Our data included records gathered between 1</w:t>
      </w:r>
      <w:r w:rsidRPr="0009686C">
        <w:rPr>
          <w:vertAlign w:val="superscript"/>
        </w:rPr>
        <w:t>st</w:t>
      </w:r>
      <w:r>
        <w:t xml:space="preserve"> of December 2008 and 30</w:t>
      </w:r>
      <w:r w:rsidRPr="0009686C">
        <w:rPr>
          <w:vertAlign w:val="superscript"/>
        </w:rPr>
        <w:t>th</w:t>
      </w:r>
      <w:r>
        <w:t xml:space="preserve"> </w:t>
      </w:r>
      <w:r w:rsidR="00BE0454">
        <w:t xml:space="preserve">November 2020. </w:t>
      </w:r>
      <w:r w:rsidR="00A33CBC">
        <w:t xml:space="preserve">Notably, although we do not know the details of the data request/purchase originally made by NRCBM, we are certain that our own request was different. More specifically and due to financial constraints, we obtained data on cases pertaining to depression among young people. To the best of our knowledge, NRCBM had access to a much broader data set, which they then reduced by </w:t>
      </w:r>
      <w:proofErr w:type="spellStart"/>
      <w:r w:rsidR="00A33CBC">
        <w:t>subsetting</w:t>
      </w:r>
      <w:proofErr w:type="spellEnd"/>
      <w:r w:rsidR="00A33CBC">
        <w:t xml:space="preserve"> to the target disorder and population. This matters because some of the exclusion criteria used by NRCBM do not apply in the present study (at least at the stage of data pre-processing). For example, there was no need in our case to exclude individuals </w:t>
      </w:r>
      <w:r w:rsidR="00A33CBC" w:rsidRPr="00A33CBC">
        <w:t>with bipolar disorder, psychosis</w:t>
      </w:r>
      <w:r w:rsidR="00A33CBC">
        <w:t>,</w:t>
      </w:r>
      <w:r w:rsidR="00A33CBC" w:rsidRPr="00A33CBC">
        <w:t xml:space="preserve"> and hypomania</w:t>
      </w:r>
      <w:r w:rsidR="00A33CBC">
        <w:t xml:space="preserve">, simply because our data did not include any </w:t>
      </w:r>
      <w:r w:rsidR="00CA45C3">
        <w:t xml:space="preserve">such </w:t>
      </w:r>
      <w:r w:rsidR="00A33CBC" w:rsidRPr="007D70E6">
        <w:t xml:space="preserve">cases. </w:t>
      </w:r>
      <w:r w:rsidR="00744AC4" w:rsidRPr="007D70E6">
        <w:t>Details of our own exclusion process a</w:t>
      </w:r>
      <w:r w:rsidR="00AB7BF1" w:rsidRPr="007D70E6">
        <w:t xml:space="preserve">re summarized in Figure </w:t>
      </w:r>
      <w:r w:rsidR="007D70E6" w:rsidRPr="007D70E6">
        <w:t>1</w:t>
      </w:r>
      <w:r w:rsidR="00AB7BF1" w:rsidRPr="007D70E6">
        <w:t xml:space="preserve">, and this should be compared with the </w:t>
      </w:r>
      <w:r w:rsidR="0087146D">
        <w:t xml:space="preserve">equivalent </w:t>
      </w:r>
      <w:r w:rsidR="00AB7BF1" w:rsidRPr="007D70E6">
        <w:t xml:space="preserve">Figure </w:t>
      </w:r>
      <w:r w:rsidR="00174330" w:rsidRPr="007D70E6">
        <w:t>1</w:t>
      </w:r>
      <w:r w:rsidR="00AB7BF1" w:rsidRPr="007D70E6">
        <w:t xml:space="preserve"> in NRCBM.</w:t>
      </w:r>
    </w:p>
    <w:p w14:paraId="59408953" w14:textId="77777777" w:rsidR="00705371" w:rsidRPr="007D70E6" w:rsidRDefault="00705371" w:rsidP="00764234"/>
    <w:p w14:paraId="67DF87A7" w14:textId="246F483F" w:rsidR="00174330" w:rsidRPr="007D70E6" w:rsidRDefault="00174330" w:rsidP="00764234">
      <w:r w:rsidRPr="007D70E6">
        <w:lastRenderedPageBreak/>
        <w:t xml:space="preserve">Figure </w:t>
      </w:r>
      <w:fldSimple w:instr=" SEQ Figure \* ARABIC ">
        <w:r w:rsidRPr="007D70E6">
          <w:t>1</w:t>
        </w:r>
      </w:fldSimple>
    </w:p>
    <w:p w14:paraId="7AF8046F" w14:textId="3DF02AB2" w:rsidR="00744AC4" w:rsidRPr="007D70E6" w:rsidRDefault="00744AC4" w:rsidP="00764234">
      <w:r w:rsidRPr="007D70E6">
        <w:t>Cohort inclusion/exclusion criteria workflow – Replication.</w:t>
      </w:r>
    </w:p>
    <w:p w14:paraId="163E9C1F" w14:textId="77777777" w:rsidR="00744AC4" w:rsidRDefault="00744AC4" w:rsidP="00764234"/>
    <w:p w14:paraId="4901EB3E" w14:textId="24B7FE42" w:rsidR="00CA45C3" w:rsidRPr="00900EBF" w:rsidRDefault="002D569F" w:rsidP="00764234">
      <w:r>
        <w:rPr>
          <w:noProof/>
        </w:rPr>
        <w:drawing>
          <wp:inline distT="0" distB="0" distL="0" distR="0" wp14:anchorId="4EC90678" wp14:editId="5A57309A">
            <wp:extent cx="5819775" cy="3262553"/>
            <wp:effectExtent l="0" t="0" r="0" b="0"/>
            <wp:docPr id="1264434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1329" cy="3269030"/>
                    </a:xfrm>
                    <a:prstGeom prst="rect">
                      <a:avLst/>
                    </a:prstGeom>
                    <a:noFill/>
                  </pic:spPr>
                </pic:pic>
              </a:graphicData>
            </a:graphic>
          </wp:inline>
        </w:drawing>
      </w:r>
    </w:p>
    <w:p w14:paraId="228FF0E4" w14:textId="0EF1EE49" w:rsidR="006B5703" w:rsidRDefault="006B5703" w:rsidP="00764234">
      <w:r w:rsidRPr="00900EBF">
        <w:t>Note: Observation Period (OP)</w:t>
      </w:r>
      <w:r>
        <w:t xml:space="preserve"> </w:t>
      </w:r>
      <w:r w:rsidR="0021687A">
        <w:t xml:space="preserve">and extraction </w:t>
      </w:r>
      <w:r w:rsidR="00900EBF">
        <w:t>d</w:t>
      </w:r>
      <w:r w:rsidR="0099144F">
        <w:t>ates</w:t>
      </w:r>
      <w:r w:rsidR="00900EBF">
        <w:t>: Cohort observation start date 01-12-2008, Cohort observation end date 30-11-2020, Cohort start date for data extraction 01-01-1994</w:t>
      </w:r>
      <w:r w:rsidR="0099144F">
        <w:t xml:space="preserve">, </w:t>
      </w:r>
      <w:r w:rsidR="00900EBF">
        <w:t>Cohort end date for data extraction 30-11-2020.</w:t>
      </w:r>
    </w:p>
    <w:p w14:paraId="54D17DAC" w14:textId="6313C367" w:rsidR="008435E4" w:rsidRDefault="00523D55" w:rsidP="00764234">
      <w:r>
        <w:t xml:space="preserve">Despite these differences, we attempted to achieve </w:t>
      </w:r>
      <w:proofErr w:type="gramStart"/>
      <w:r>
        <w:t>exactly the same</w:t>
      </w:r>
      <w:proofErr w:type="gramEnd"/>
      <w:r>
        <w:t xml:space="preserve"> </w:t>
      </w:r>
      <w:r w:rsidR="0009686C">
        <w:t xml:space="preserve">exclusion/inclusion criteria as </w:t>
      </w:r>
      <w:r w:rsidR="00505063">
        <w:t xml:space="preserve">those employed by </w:t>
      </w:r>
      <w:r w:rsidR="0009686C">
        <w:t>NRCBM</w:t>
      </w:r>
      <w:r>
        <w:t xml:space="preserve">. In our case, this procedure resulted in </w:t>
      </w:r>
      <w:r w:rsidR="00505063">
        <w:t>records from</w:t>
      </w:r>
      <w:r w:rsidR="0009686C">
        <w:t xml:space="preserve"> </w:t>
      </w:r>
      <w:r w:rsidR="0009686C" w:rsidRPr="00027B09">
        <w:t>168,726 cases and 337,452 matched controls</w:t>
      </w:r>
      <w:r w:rsidR="0009686C">
        <w:t xml:space="preserve"> </w:t>
      </w:r>
      <w:r w:rsidR="00BC3495">
        <w:t>(</w:t>
      </w:r>
      <w:r w:rsidR="00505063">
        <w:t xml:space="preserve">with </w:t>
      </w:r>
      <w:r w:rsidR="00BC3495">
        <w:t xml:space="preserve">the case to </w:t>
      </w:r>
      <w:r w:rsidR="0009686C">
        <w:t>control ratio of 1:2)</w:t>
      </w:r>
      <w:r w:rsidR="00BC3495">
        <w:t xml:space="preserve">. We </w:t>
      </w:r>
      <w:r w:rsidR="00505063">
        <w:t xml:space="preserve">further </w:t>
      </w:r>
      <w:r w:rsidR="00BC3495">
        <w:t xml:space="preserve">removed data that overlapped with the period covered by NRCBM’s dataset, </w:t>
      </w:r>
      <w:r w:rsidR="00505063">
        <w:t>which resulted in the final</w:t>
      </w:r>
      <w:r w:rsidR="00BC3495">
        <w:t xml:space="preserve"> dataset </w:t>
      </w:r>
      <w:r w:rsidR="00505063">
        <w:t>of</w:t>
      </w:r>
      <w:r w:rsidR="00BC3495">
        <w:t xml:space="preserve"> </w:t>
      </w:r>
      <w:r w:rsidR="00BC3495" w:rsidRPr="00027B09">
        <w:t>107,043 cases and 214,086 controls</w:t>
      </w:r>
      <w:r w:rsidR="00BC3495">
        <w:t>.</w:t>
      </w:r>
      <w:r w:rsidR="008435E4">
        <w:t xml:space="preserve"> Using the same Read code</w:t>
      </w:r>
      <w:r w:rsidR="00DD45E0">
        <w:t>/drug code definitions</w:t>
      </w:r>
      <w:r w:rsidR="008435E4">
        <w:t xml:space="preserve"> as </w:t>
      </w:r>
      <w:r w:rsidR="00BA27EF">
        <w:t xml:space="preserve">those used by </w:t>
      </w:r>
      <w:r w:rsidR="008435E4">
        <w:t xml:space="preserve">NRCBM, we identified the </w:t>
      </w:r>
      <w:r w:rsidR="00534022">
        <w:t xml:space="preserve">54 </w:t>
      </w:r>
      <w:r w:rsidR="00DD45E0">
        <w:t xml:space="preserve">exposure </w:t>
      </w:r>
      <w:r w:rsidR="00505063">
        <w:t>variables</w:t>
      </w:r>
      <w:r w:rsidR="008435E4">
        <w:t xml:space="preserve"> to be used as </w:t>
      </w:r>
      <w:r w:rsidR="007472BA">
        <w:t xml:space="preserve">initial </w:t>
      </w:r>
      <w:r w:rsidR="008435E4">
        <w:t>predictor</w:t>
      </w:r>
      <w:r w:rsidR="007472BA">
        <w:t xml:space="preserve"> candidates</w:t>
      </w:r>
      <w:r w:rsidR="008435E4">
        <w:t xml:space="preserve"> in our analysis. </w:t>
      </w:r>
      <w:r w:rsidR="00DD45E0">
        <w:t xml:space="preserve">The code </w:t>
      </w:r>
      <w:r w:rsidR="000A03B9">
        <w:t>sets that</w:t>
      </w:r>
      <w:r w:rsidR="00DD45E0">
        <w:t xml:space="preserve"> defined </w:t>
      </w:r>
      <w:r w:rsidR="00534022">
        <w:t>these exposure variable predictors</w:t>
      </w:r>
      <w:r w:rsidR="00DD45E0">
        <w:t xml:space="preserve"> were obtained directly from the paper’s authors as they are not defined within the paper itself.</w:t>
      </w:r>
    </w:p>
    <w:bookmarkEnd w:id="4"/>
    <w:p w14:paraId="1E729CDA" w14:textId="54E5B42F" w:rsidR="008435E4" w:rsidRDefault="00783554" w:rsidP="00764234">
      <w:r>
        <w:lastRenderedPageBreak/>
        <w:t xml:space="preserve">As per </w:t>
      </w:r>
      <w:r w:rsidR="00F30A15">
        <w:t xml:space="preserve">the </w:t>
      </w:r>
      <w:r>
        <w:t xml:space="preserve">original study, </w:t>
      </w:r>
      <w:r w:rsidRPr="00027B09">
        <w:t xml:space="preserve">predictors were </w:t>
      </w:r>
      <w:r w:rsidR="00534022">
        <w:t>removed</w:t>
      </w:r>
      <w:r w:rsidRPr="00027B09">
        <w:t xml:space="preserve"> </w:t>
      </w:r>
      <w:r>
        <w:t>based on low prevalence (&lt;0.02%) first</w:t>
      </w:r>
      <w:r w:rsidR="007472BA">
        <w:t xml:space="preserve"> leaving 48</w:t>
      </w:r>
      <w:r>
        <w:t xml:space="preserve">, </w:t>
      </w:r>
      <w:r w:rsidRPr="00783554">
        <w:t xml:space="preserve">before being removed using the backward stepwise regression. </w:t>
      </w:r>
      <w:r w:rsidR="000B2E89" w:rsidRPr="00393AEC">
        <w:rPr>
          <w:color w:val="0070C0"/>
        </w:rPr>
        <w:t>The IMD social deprivation data was missing for approximately 1% of the matched case control data supplied for the replication</w:t>
      </w:r>
      <w:r w:rsidR="00B8078F" w:rsidRPr="00393AEC">
        <w:rPr>
          <w:color w:val="0070C0"/>
        </w:rPr>
        <w:t>.</w:t>
      </w:r>
      <w:r w:rsidR="000B2E89" w:rsidRPr="00393AEC">
        <w:rPr>
          <w:color w:val="0070C0"/>
        </w:rPr>
        <w:t xml:space="preserve"> </w:t>
      </w:r>
      <w:r w:rsidR="00B8078F" w:rsidRPr="00393AEC">
        <w:rPr>
          <w:color w:val="0070C0"/>
        </w:rPr>
        <w:t>I</w:t>
      </w:r>
      <w:r w:rsidR="000B2E89" w:rsidRPr="00393AEC">
        <w:rPr>
          <w:color w:val="0070C0"/>
        </w:rPr>
        <w:t xml:space="preserve">ndividuals without </w:t>
      </w:r>
      <w:r w:rsidR="00B8078F" w:rsidRPr="00393AEC">
        <w:rPr>
          <w:color w:val="0070C0"/>
        </w:rPr>
        <w:t>IMD</w:t>
      </w:r>
      <w:r w:rsidR="000B2E89" w:rsidRPr="00393AEC">
        <w:rPr>
          <w:color w:val="0070C0"/>
        </w:rPr>
        <w:t xml:space="preserve"> data were removed from the training/test data</w:t>
      </w:r>
      <w:r w:rsidR="00C32F61" w:rsidRPr="00393AEC">
        <w:rPr>
          <w:color w:val="0070C0"/>
        </w:rPr>
        <w:t xml:space="preserve"> prior to our analysis</w:t>
      </w:r>
      <w:r w:rsidR="000B2E89" w:rsidRPr="00393AEC">
        <w:rPr>
          <w:color w:val="0070C0"/>
        </w:rPr>
        <w:t xml:space="preserve">. Additionally, </w:t>
      </w:r>
      <w:r w:rsidR="00C32F61" w:rsidRPr="00393AEC">
        <w:rPr>
          <w:color w:val="0070C0"/>
        </w:rPr>
        <w:t>we found a small number of individuals</w:t>
      </w:r>
      <w:r w:rsidR="000B2E89" w:rsidRPr="00393AEC">
        <w:rPr>
          <w:color w:val="0070C0"/>
        </w:rPr>
        <w:t xml:space="preserve"> (</w:t>
      </w:r>
      <w:r w:rsidR="00C32F61" w:rsidRPr="00393AEC">
        <w:rPr>
          <w:color w:val="0070C0"/>
        </w:rPr>
        <w:t>fewer</w:t>
      </w:r>
      <w:r w:rsidR="000B2E89" w:rsidRPr="00393AEC">
        <w:rPr>
          <w:color w:val="0070C0"/>
        </w:rPr>
        <w:t xml:space="preserve"> than 10 in any of the four gender/age group subsets) </w:t>
      </w:r>
      <w:r w:rsidR="00C32F61" w:rsidRPr="00393AEC">
        <w:rPr>
          <w:color w:val="0070C0"/>
        </w:rPr>
        <w:t xml:space="preserve">with an excessive number of </w:t>
      </w:r>
      <w:r w:rsidR="00E3213A" w:rsidRPr="00393AEC">
        <w:rPr>
          <w:color w:val="0070C0"/>
        </w:rPr>
        <w:t>visits to GP</w:t>
      </w:r>
      <w:r w:rsidR="000B2E89" w:rsidRPr="00393AEC">
        <w:rPr>
          <w:color w:val="0070C0"/>
        </w:rPr>
        <w:t xml:space="preserve">. A decision was taken to remove those with </w:t>
      </w:r>
      <w:r w:rsidR="00E3213A" w:rsidRPr="00393AEC">
        <w:rPr>
          <w:color w:val="0070C0"/>
        </w:rPr>
        <w:t xml:space="preserve">visit count </w:t>
      </w:r>
      <w:r w:rsidR="000B2E89" w:rsidRPr="00393AEC">
        <w:rPr>
          <w:color w:val="0070C0"/>
        </w:rPr>
        <w:t xml:space="preserve">greater than 50 </w:t>
      </w:r>
      <w:r w:rsidR="00E3213A" w:rsidRPr="00393AEC">
        <w:rPr>
          <w:color w:val="0070C0"/>
        </w:rPr>
        <w:t>(</w:t>
      </w:r>
      <w:r w:rsidR="000B2E89" w:rsidRPr="00393AEC">
        <w:rPr>
          <w:color w:val="0070C0"/>
        </w:rPr>
        <w:t>per year</w:t>
      </w:r>
      <w:r w:rsidR="00E3213A" w:rsidRPr="00393AEC">
        <w:rPr>
          <w:color w:val="0070C0"/>
        </w:rPr>
        <w:t>)</w:t>
      </w:r>
      <w:r w:rsidR="000B2E89" w:rsidRPr="00393AEC">
        <w:rPr>
          <w:color w:val="0070C0"/>
        </w:rPr>
        <w:t xml:space="preserve"> as this </w:t>
      </w:r>
      <w:r w:rsidR="00E3213A" w:rsidRPr="00393AEC">
        <w:rPr>
          <w:color w:val="0070C0"/>
        </w:rPr>
        <w:t>likely reflects some error in data recording</w:t>
      </w:r>
      <w:r w:rsidR="000B2E89" w:rsidRPr="00393AEC">
        <w:rPr>
          <w:color w:val="0070C0"/>
        </w:rPr>
        <w:t xml:space="preserve">. </w:t>
      </w:r>
      <w:r w:rsidRPr="00783554">
        <w:t xml:space="preserve">The total number of cases and controls is shown in Table </w:t>
      </w:r>
      <w:r w:rsidR="000A03B9">
        <w:t>1</w:t>
      </w:r>
      <w:r w:rsidRPr="00783554">
        <w:t xml:space="preserve">, alongside the </w:t>
      </w:r>
      <w:r w:rsidR="00130D75">
        <w:t>figures</w:t>
      </w:r>
      <w:r w:rsidRPr="00783554">
        <w:t xml:space="preserve"> </w:t>
      </w:r>
      <w:r w:rsidR="00130D75">
        <w:t>from</w:t>
      </w:r>
      <w:r w:rsidRPr="00783554">
        <w:t xml:space="preserve"> NRCBM.</w:t>
      </w:r>
      <w:r w:rsidR="000B2E89">
        <w:t xml:space="preserve"> </w:t>
      </w:r>
      <w:r w:rsidR="000B2E89" w:rsidRPr="00393AEC">
        <w:rPr>
          <w:color w:val="0070C0"/>
        </w:rPr>
        <w:t>These data sets were further divided, as by NRCBM, into 67% training for the development of the backwards stepwise replicated models and 33% test subsets for AUC-ROC estimation.</w:t>
      </w:r>
    </w:p>
    <w:p w14:paraId="1AA240F7" w14:textId="2C0A7A42" w:rsidR="00466FAE" w:rsidRPr="00764234" w:rsidRDefault="00466FAE" w:rsidP="00764234">
      <w:pPr>
        <w:rPr>
          <w:b/>
          <w:bCs/>
        </w:rPr>
      </w:pPr>
      <w:r w:rsidRPr="00764234">
        <w:rPr>
          <w:b/>
          <w:bCs/>
        </w:rPr>
        <w:t xml:space="preserve">Table </w:t>
      </w:r>
      <w:r w:rsidRPr="00764234">
        <w:rPr>
          <w:b/>
          <w:bCs/>
        </w:rPr>
        <w:fldChar w:fldCharType="begin"/>
      </w:r>
      <w:r w:rsidRPr="00764234">
        <w:rPr>
          <w:b/>
          <w:bCs/>
        </w:rPr>
        <w:instrText xml:space="preserve"> SEQ Table \* ARABIC </w:instrText>
      </w:r>
      <w:r w:rsidRPr="00764234">
        <w:rPr>
          <w:b/>
          <w:bCs/>
        </w:rPr>
        <w:fldChar w:fldCharType="separate"/>
      </w:r>
      <w:r w:rsidR="000A03B9" w:rsidRPr="00764234">
        <w:rPr>
          <w:b/>
          <w:bCs/>
          <w:noProof/>
        </w:rPr>
        <w:t>1</w:t>
      </w:r>
      <w:r w:rsidRPr="00764234">
        <w:rPr>
          <w:b/>
          <w:bCs/>
        </w:rPr>
        <w:fldChar w:fldCharType="end"/>
      </w:r>
    </w:p>
    <w:p w14:paraId="3ED8CA18" w14:textId="3120FE3E" w:rsidR="00466FAE" w:rsidRPr="00764234" w:rsidRDefault="00466FAE" w:rsidP="00764234">
      <w:pPr>
        <w:rPr>
          <w:i/>
          <w:iCs/>
        </w:rPr>
      </w:pPr>
      <w:r w:rsidRPr="00764234">
        <w:rPr>
          <w:i/>
          <w:iCs/>
        </w:rPr>
        <w:t>Total numbers of cases and controls in NRCBM and current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730"/>
        <w:gridCol w:w="774"/>
        <w:gridCol w:w="882"/>
        <w:gridCol w:w="774"/>
        <w:gridCol w:w="882"/>
      </w:tblGrid>
      <w:tr w:rsidR="00783554" w:rsidRPr="00466FAE" w14:paraId="38F950D2" w14:textId="77777777" w:rsidTr="00A626BC">
        <w:tc>
          <w:tcPr>
            <w:tcW w:w="0" w:type="auto"/>
            <w:tcBorders>
              <w:top w:val="single" w:sz="4" w:space="0" w:color="auto"/>
              <w:bottom w:val="single" w:sz="4" w:space="0" w:color="auto"/>
            </w:tcBorders>
          </w:tcPr>
          <w:p w14:paraId="2D7DBF44" w14:textId="5EE834CB"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Subgroup</w:t>
            </w:r>
          </w:p>
        </w:tc>
        <w:tc>
          <w:tcPr>
            <w:tcW w:w="0" w:type="auto"/>
            <w:tcBorders>
              <w:top w:val="single" w:sz="4" w:space="0" w:color="auto"/>
              <w:bottom w:val="single" w:sz="4" w:space="0" w:color="auto"/>
            </w:tcBorders>
          </w:tcPr>
          <w:p w14:paraId="4C1F5245" w14:textId="77777777" w:rsidR="00783554" w:rsidRPr="00452C74" w:rsidRDefault="00783554" w:rsidP="00764234">
            <w:pPr>
              <w:spacing w:line="240" w:lineRule="auto"/>
              <w:ind w:firstLine="0"/>
              <w:rPr>
                <w:rFonts w:asciiTheme="minorHAnsi" w:hAnsiTheme="minorHAnsi" w:cstheme="minorHAnsi"/>
                <w:sz w:val="22"/>
                <w:szCs w:val="22"/>
              </w:rPr>
            </w:pPr>
          </w:p>
        </w:tc>
        <w:tc>
          <w:tcPr>
            <w:tcW w:w="0" w:type="auto"/>
            <w:gridSpan w:val="2"/>
            <w:tcBorders>
              <w:top w:val="single" w:sz="4" w:space="0" w:color="auto"/>
              <w:bottom w:val="single" w:sz="4" w:space="0" w:color="auto"/>
            </w:tcBorders>
          </w:tcPr>
          <w:p w14:paraId="73F79DCE" w14:textId="646A28CC"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NRCBM</w:t>
            </w:r>
          </w:p>
        </w:tc>
        <w:tc>
          <w:tcPr>
            <w:tcW w:w="0" w:type="auto"/>
            <w:gridSpan w:val="2"/>
            <w:tcBorders>
              <w:top w:val="single" w:sz="4" w:space="0" w:color="auto"/>
              <w:bottom w:val="single" w:sz="4" w:space="0" w:color="auto"/>
            </w:tcBorders>
          </w:tcPr>
          <w:p w14:paraId="7D3D6FDC" w14:textId="34D30C8B"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Replication</w:t>
            </w:r>
          </w:p>
        </w:tc>
      </w:tr>
      <w:tr w:rsidR="00783554" w:rsidRPr="00466FAE" w14:paraId="684E4D57" w14:textId="77777777" w:rsidTr="00A626BC">
        <w:tc>
          <w:tcPr>
            <w:tcW w:w="0" w:type="auto"/>
            <w:tcBorders>
              <w:top w:val="single" w:sz="4" w:space="0" w:color="auto"/>
            </w:tcBorders>
          </w:tcPr>
          <w:p w14:paraId="4F9E528B" w14:textId="3B27A48E" w:rsidR="00783554" w:rsidRPr="00452C74" w:rsidRDefault="00783554" w:rsidP="00764234">
            <w:pPr>
              <w:spacing w:line="240" w:lineRule="auto"/>
              <w:ind w:firstLine="0"/>
              <w:rPr>
                <w:rFonts w:asciiTheme="minorHAnsi" w:hAnsiTheme="minorHAnsi" w:cstheme="minorHAnsi"/>
                <w:sz w:val="22"/>
                <w:szCs w:val="22"/>
              </w:rPr>
            </w:pPr>
          </w:p>
        </w:tc>
        <w:tc>
          <w:tcPr>
            <w:tcW w:w="0" w:type="auto"/>
            <w:tcBorders>
              <w:top w:val="single" w:sz="4" w:space="0" w:color="auto"/>
              <w:bottom w:val="single" w:sz="4" w:space="0" w:color="auto"/>
            </w:tcBorders>
          </w:tcPr>
          <w:p w14:paraId="07D17890" w14:textId="25B5810A" w:rsidR="00783554"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Age</w:t>
            </w:r>
          </w:p>
        </w:tc>
        <w:tc>
          <w:tcPr>
            <w:tcW w:w="0" w:type="auto"/>
            <w:tcBorders>
              <w:top w:val="single" w:sz="4" w:space="0" w:color="auto"/>
              <w:bottom w:val="single" w:sz="4" w:space="0" w:color="auto"/>
            </w:tcBorders>
          </w:tcPr>
          <w:p w14:paraId="0A0AEC88" w14:textId="6CA31F9D"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Case</w:t>
            </w:r>
          </w:p>
        </w:tc>
        <w:tc>
          <w:tcPr>
            <w:tcW w:w="0" w:type="auto"/>
            <w:tcBorders>
              <w:top w:val="single" w:sz="4" w:space="0" w:color="auto"/>
              <w:bottom w:val="single" w:sz="4" w:space="0" w:color="auto"/>
            </w:tcBorders>
          </w:tcPr>
          <w:p w14:paraId="6020C411" w14:textId="1BEF51B6"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Control</w:t>
            </w:r>
          </w:p>
        </w:tc>
        <w:tc>
          <w:tcPr>
            <w:tcW w:w="0" w:type="auto"/>
            <w:tcBorders>
              <w:top w:val="single" w:sz="4" w:space="0" w:color="auto"/>
              <w:bottom w:val="single" w:sz="4" w:space="0" w:color="auto"/>
            </w:tcBorders>
          </w:tcPr>
          <w:p w14:paraId="640EB5E3" w14:textId="79FEAEDD"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Case</w:t>
            </w:r>
          </w:p>
        </w:tc>
        <w:tc>
          <w:tcPr>
            <w:tcW w:w="0" w:type="auto"/>
            <w:tcBorders>
              <w:top w:val="single" w:sz="4" w:space="0" w:color="auto"/>
              <w:bottom w:val="single" w:sz="4" w:space="0" w:color="auto"/>
            </w:tcBorders>
          </w:tcPr>
          <w:p w14:paraId="2364AD05" w14:textId="02F95B5E" w:rsidR="00783554" w:rsidRPr="00452C74" w:rsidRDefault="00783554"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Control</w:t>
            </w:r>
          </w:p>
        </w:tc>
      </w:tr>
      <w:tr w:rsidR="00A626BC" w:rsidRPr="00466FAE" w14:paraId="5BDBA9E3" w14:textId="77777777" w:rsidTr="00A626BC">
        <w:tc>
          <w:tcPr>
            <w:tcW w:w="0" w:type="auto"/>
          </w:tcPr>
          <w:p w14:paraId="1EF9E91C" w14:textId="0E14DF2B"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Male</w:t>
            </w:r>
          </w:p>
        </w:tc>
        <w:tc>
          <w:tcPr>
            <w:tcW w:w="0" w:type="auto"/>
            <w:tcBorders>
              <w:top w:val="single" w:sz="4" w:space="0" w:color="auto"/>
            </w:tcBorders>
          </w:tcPr>
          <w:p w14:paraId="74709D3A" w14:textId="51C21AFC"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15-18</w:t>
            </w:r>
          </w:p>
        </w:tc>
        <w:tc>
          <w:tcPr>
            <w:tcW w:w="0" w:type="auto"/>
            <w:tcBorders>
              <w:top w:val="single" w:sz="4" w:space="0" w:color="auto"/>
            </w:tcBorders>
          </w:tcPr>
          <w:p w14:paraId="1F4CB3E8" w14:textId="7A8FCF7D"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4702</w:t>
            </w:r>
          </w:p>
        </w:tc>
        <w:tc>
          <w:tcPr>
            <w:tcW w:w="0" w:type="auto"/>
            <w:tcBorders>
              <w:top w:val="single" w:sz="4" w:space="0" w:color="auto"/>
            </w:tcBorders>
          </w:tcPr>
          <w:p w14:paraId="5C9E8C3E" w14:textId="093FB47E"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14074</w:t>
            </w:r>
          </w:p>
        </w:tc>
        <w:tc>
          <w:tcPr>
            <w:tcW w:w="0" w:type="auto"/>
            <w:tcBorders>
              <w:top w:val="single" w:sz="4" w:space="0" w:color="auto"/>
            </w:tcBorders>
          </w:tcPr>
          <w:p w14:paraId="497712DF" w14:textId="4CFF842F" w:rsidR="00A626BC" w:rsidRPr="00393AEC" w:rsidRDefault="009E59C7"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9427</w:t>
            </w:r>
          </w:p>
        </w:tc>
        <w:tc>
          <w:tcPr>
            <w:tcW w:w="0" w:type="auto"/>
            <w:tcBorders>
              <w:top w:val="single" w:sz="4" w:space="0" w:color="auto"/>
            </w:tcBorders>
          </w:tcPr>
          <w:p w14:paraId="781BC183" w14:textId="017ED638" w:rsidR="00A626BC" w:rsidRPr="00393AEC" w:rsidRDefault="009E59C7"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 xml:space="preserve">18852   </w:t>
            </w:r>
          </w:p>
        </w:tc>
      </w:tr>
      <w:tr w:rsidR="00A626BC" w:rsidRPr="00466FAE" w14:paraId="4D420383" w14:textId="77777777" w:rsidTr="00A626BC">
        <w:tc>
          <w:tcPr>
            <w:tcW w:w="0" w:type="auto"/>
          </w:tcPr>
          <w:p w14:paraId="15114781" w14:textId="78A60A02" w:rsidR="00A626BC" w:rsidRPr="00452C74" w:rsidRDefault="00A626BC" w:rsidP="00764234">
            <w:pPr>
              <w:spacing w:line="240" w:lineRule="auto"/>
              <w:ind w:firstLine="0"/>
              <w:rPr>
                <w:rFonts w:asciiTheme="minorHAnsi" w:hAnsiTheme="minorHAnsi" w:cstheme="minorHAnsi"/>
                <w:sz w:val="22"/>
                <w:szCs w:val="22"/>
              </w:rPr>
            </w:pPr>
          </w:p>
        </w:tc>
        <w:tc>
          <w:tcPr>
            <w:tcW w:w="0" w:type="auto"/>
          </w:tcPr>
          <w:p w14:paraId="52F0D1C4" w14:textId="1E920F63"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19-24</w:t>
            </w:r>
          </w:p>
        </w:tc>
        <w:tc>
          <w:tcPr>
            <w:tcW w:w="0" w:type="auto"/>
          </w:tcPr>
          <w:p w14:paraId="7BAC24FD" w14:textId="7A17F3A1"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17526</w:t>
            </w:r>
          </w:p>
        </w:tc>
        <w:tc>
          <w:tcPr>
            <w:tcW w:w="0" w:type="auto"/>
          </w:tcPr>
          <w:p w14:paraId="1614077B" w14:textId="6BFC0409"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51907</w:t>
            </w:r>
          </w:p>
        </w:tc>
        <w:tc>
          <w:tcPr>
            <w:tcW w:w="0" w:type="auto"/>
          </w:tcPr>
          <w:p w14:paraId="196FC00B" w14:textId="79ECDF55" w:rsidR="00A626BC" w:rsidRPr="00393AEC" w:rsidRDefault="00203D60"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31088</w:t>
            </w:r>
          </w:p>
        </w:tc>
        <w:tc>
          <w:tcPr>
            <w:tcW w:w="0" w:type="auto"/>
          </w:tcPr>
          <w:p w14:paraId="6F272EF9" w14:textId="0F40BA8A" w:rsidR="00A626BC" w:rsidRPr="00393AEC" w:rsidRDefault="00203D60"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62185</w:t>
            </w:r>
          </w:p>
        </w:tc>
      </w:tr>
      <w:tr w:rsidR="00A626BC" w:rsidRPr="00466FAE" w14:paraId="23B791EF" w14:textId="77777777" w:rsidTr="00A626BC">
        <w:tc>
          <w:tcPr>
            <w:tcW w:w="0" w:type="auto"/>
          </w:tcPr>
          <w:p w14:paraId="788D9892" w14:textId="64651AA3"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Female</w:t>
            </w:r>
          </w:p>
        </w:tc>
        <w:tc>
          <w:tcPr>
            <w:tcW w:w="0" w:type="auto"/>
          </w:tcPr>
          <w:p w14:paraId="6B230D07" w14:textId="15BBB89B"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15-18</w:t>
            </w:r>
          </w:p>
        </w:tc>
        <w:tc>
          <w:tcPr>
            <w:tcW w:w="0" w:type="auto"/>
          </w:tcPr>
          <w:p w14:paraId="3AB7A647" w14:textId="03EA6632"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11857</w:t>
            </w:r>
          </w:p>
        </w:tc>
        <w:tc>
          <w:tcPr>
            <w:tcW w:w="0" w:type="auto"/>
          </w:tcPr>
          <w:p w14:paraId="3272B874" w14:textId="3E33CB4D"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34315</w:t>
            </w:r>
          </w:p>
        </w:tc>
        <w:tc>
          <w:tcPr>
            <w:tcW w:w="0" w:type="auto"/>
          </w:tcPr>
          <w:p w14:paraId="761AF8A1" w14:textId="41410C7C" w:rsidR="00A626BC" w:rsidRPr="00393AEC" w:rsidRDefault="00B663F2"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18712</w:t>
            </w:r>
          </w:p>
        </w:tc>
        <w:tc>
          <w:tcPr>
            <w:tcW w:w="0" w:type="auto"/>
          </w:tcPr>
          <w:p w14:paraId="03C12510" w14:textId="7788CE68" w:rsidR="00A626BC" w:rsidRPr="00393AEC" w:rsidRDefault="00B663F2"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38686</w:t>
            </w:r>
          </w:p>
        </w:tc>
      </w:tr>
      <w:tr w:rsidR="00A626BC" w:rsidRPr="00466FAE" w14:paraId="5982E209" w14:textId="77777777" w:rsidTr="00A626BC">
        <w:tc>
          <w:tcPr>
            <w:tcW w:w="0" w:type="auto"/>
            <w:tcBorders>
              <w:bottom w:val="single" w:sz="4" w:space="0" w:color="auto"/>
            </w:tcBorders>
          </w:tcPr>
          <w:p w14:paraId="54663D5D" w14:textId="77777777" w:rsidR="00A626BC" w:rsidRPr="00452C74" w:rsidRDefault="00A626BC" w:rsidP="00764234">
            <w:pPr>
              <w:spacing w:line="240" w:lineRule="auto"/>
              <w:ind w:firstLine="0"/>
              <w:rPr>
                <w:rFonts w:asciiTheme="minorHAnsi" w:hAnsiTheme="minorHAnsi" w:cstheme="minorHAnsi"/>
                <w:sz w:val="22"/>
                <w:szCs w:val="22"/>
              </w:rPr>
            </w:pPr>
          </w:p>
        </w:tc>
        <w:tc>
          <w:tcPr>
            <w:tcW w:w="0" w:type="auto"/>
            <w:tcBorders>
              <w:bottom w:val="single" w:sz="4" w:space="0" w:color="auto"/>
            </w:tcBorders>
          </w:tcPr>
          <w:p w14:paraId="714CF3D2" w14:textId="5DA5E088"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19-24</w:t>
            </w:r>
          </w:p>
        </w:tc>
        <w:tc>
          <w:tcPr>
            <w:tcW w:w="0" w:type="auto"/>
            <w:tcBorders>
              <w:bottom w:val="single" w:sz="4" w:space="0" w:color="auto"/>
            </w:tcBorders>
          </w:tcPr>
          <w:p w14:paraId="3032B3BB" w14:textId="525F45A2"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33236</w:t>
            </w:r>
          </w:p>
        </w:tc>
        <w:tc>
          <w:tcPr>
            <w:tcW w:w="0" w:type="auto"/>
            <w:tcBorders>
              <w:bottom w:val="single" w:sz="4" w:space="0" w:color="auto"/>
            </w:tcBorders>
          </w:tcPr>
          <w:p w14:paraId="2425CAE7" w14:textId="640B1087" w:rsidR="00A626BC" w:rsidRPr="00452C74" w:rsidRDefault="00A626BC" w:rsidP="00764234">
            <w:pPr>
              <w:spacing w:line="240" w:lineRule="auto"/>
              <w:ind w:firstLine="0"/>
              <w:rPr>
                <w:rFonts w:asciiTheme="minorHAnsi" w:hAnsiTheme="minorHAnsi" w:cstheme="minorHAnsi"/>
                <w:sz w:val="22"/>
                <w:szCs w:val="22"/>
              </w:rPr>
            </w:pPr>
            <w:r w:rsidRPr="00452C74">
              <w:rPr>
                <w:rFonts w:asciiTheme="minorHAnsi" w:hAnsiTheme="minorHAnsi" w:cstheme="minorHAnsi"/>
                <w:sz w:val="22"/>
                <w:szCs w:val="22"/>
              </w:rPr>
              <w:t>91839</w:t>
            </w:r>
          </w:p>
        </w:tc>
        <w:tc>
          <w:tcPr>
            <w:tcW w:w="0" w:type="auto"/>
            <w:tcBorders>
              <w:bottom w:val="single" w:sz="4" w:space="0" w:color="auto"/>
            </w:tcBorders>
          </w:tcPr>
          <w:p w14:paraId="58E5BBB6" w14:textId="5663520F" w:rsidR="00A626BC" w:rsidRPr="00393AEC" w:rsidRDefault="00B663F2"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46020</w:t>
            </w:r>
          </w:p>
        </w:tc>
        <w:tc>
          <w:tcPr>
            <w:tcW w:w="0" w:type="auto"/>
            <w:tcBorders>
              <w:bottom w:val="single" w:sz="4" w:space="0" w:color="auto"/>
            </w:tcBorders>
          </w:tcPr>
          <w:p w14:paraId="005F0D03" w14:textId="3B4FE10A" w:rsidR="00A626BC" w:rsidRPr="00393AEC" w:rsidRDefault="00B663F2" w:rsidP="00764234">
            <w:pPr>
              <w:spacing w:line="240" w:lineRule="auto"/>
              <w:ind w:firstLine="0"/>
              <w:rPr>
                <w:rFonts w:asciiTheme="minorHAnsi" w:hAnsiTheme="minorHAnsi" w:cstheme="minorHAnsi"/>
                <w:color w:val="0070C0"/>
                <w:sz w:val="22"/>
                <w:szCs w:val="22"/>
              </w:rPr>
            </w:pPr>
            <w:r w:rsidRPr="00393AEC">
              <w:rPr>
                <w:rFonts w:asciiTheme="minorHAnsi" w:hAnsiTheme="minorHAnsi" w:cstheme="minorHAnsi"/>
                <w:color w:val="0070C0"/>
                <w:sz w:val="22"/>
                <w:szCs w:val="22"/>
              </w:rPr>
              <w:t>92061</w:t>
            </w:r>
          </w:p>
        </w:tc>
      </w:tr>
    </w:tbl>
    <w:p w14:paraId="590CE582" w14:textId="06466B5F" w:rsidR="00783554" w:rsidRDefault="00783554" w:rsidP="00764234"/>
    <w:p w14:paraId="5691D8F4" w14:textId="5C05B762" w:rsidR="00865CE6" w:rsidRPr="00865CE6" w:rsidRDefault="00865CE6" w:rsidP="00764234">
      <w:pPr>
        <w:pStyle w:val="Heading2"/>
      </w:pPr>
      <w:r>
        <w:t>Alternative Models</w:t>
      </w:r>
    </w:p>
    <w:p w14:paraId="0D5ED9FE" w14:textId="60F1C819" w:rsidR="00783554" w:rsidRDefault="00865CE6" w:rsidP="00764234">
      <w:pPr>
        <w:rPr>
          <w:color w:val="0070C0"/>
        </w:rPr>
      </w:pPr>
      <w:r>
        <w:t xml:space="preserve">Extending </w:t>
      </w:r>
      <w:r w:rsidR="00630421">
        <w:t xml:space="preserve">the </w:t>
      </w:r>
      <w:r>
        <w:t xml:space="preserve">work of NRCBM, we tested alternative ML classification models on our data, </w:t>
      </w:r>
      <w:r w:rsidR="00634DAB">
        <w:t>using predictors</w:t>
      </w:r>
      <w:r w:rsidR="00B86BF2">
        <w:t xml:space="preserve"> left after </w:t>
      </w:r>
      <w:r>
        <w:t>down-select</w:t>
      </w:r>
      <w:r w:rsidR="00B86BF2">
        <w:t xml:space="preserve">ing based on 0.02% prevalence </w:t>
      </w:r>
      <w:r w:rsidR="004A77F3">
        <w:t>to predict depression</w:t>
      </w:r>
      <w:r>
        <w:t xml:space="preserve">. </w:t>
      </w:r>
      <w:r w:rsidR="00276FB3">
        <w:t>W</w:t>
      </w:r>
      <w:r>
        <w:t xml:space="preserve">e fitted </w:t>
      </w:r>
      <w:r w:rsidR="00BF288C">
        <w:t xml:space="preserve">LASSO (Least Absolute Shrinkage Selection Operator), Random Forest, Gradient Boosting, </w:t>
      </w:r>
      <w:proofErr w:type="spellStart"/>
      <w:r w:rsidR="00BF288C">
        <w:t>XGBoost</w:t>
      </w:r>
      <w:proofErr w:type="spellEnd"/>
      <w:r w:rsidR="00BF288C">
        <w:t xml:space="preserve">, </w:t>
      </w:r>
      <w:proofErr w:type="spellStart"/>
      <w:r w:rsidR="00BF288C">
        <w:t>Rpart</w:t>
      </w:r>
      <w:proofErr w:type="spellEnd"/>
      <w:r w:rsidR="00BF288C">
        <w:t>, and PRE (Prediction Rules Ensembles)</w:t>
      </w:r>
      <w:r>
        <w:t>.</w:t>
      </w:r>
      <w:r w:rsidR="009C473E">
        <w:t xml:space="preserve"> These models were selected as a representative sample of techniques that are commonly used for prediction problems involving large datasets with large numbers of collinear predictors.</w:t>
      </w:r>
      <w:r>
        <w:t xml:space="preserve"> In all cases, </w:t>
      </w:r>
      <w:r w:rsidR="009813DA">
        <w:t>we</w:t>
      </w:r>
      <w:r>
        <w:t xml:space="preserve"> report AUC-ROC results following the same cross-validation approach as </w:t>
      </w:r>
      <w:r w:rsidR="00707B7A">
        <w:t>in</w:t>
      </w:r>
      <w:r>
        <w:t xml:space="preserve"> the main analysis</w:t>
      </w:r>
      <w:r w:rsidR="007741F4">
        <w:t xml:space="preserve"> using the logistic regression</w:t>
      </w:r>
      <w:r w:rsidR="000B2E89" w:rsidRPr="00393AEC">
        <w:rPr>
          <w:color w:val="0070C0"/>
        </w:rPr>
        <w:t xml:space="preserve">, specifically measured </w:t>
      </w:r>
      <w:r w:rsidR="000B2E89" w:rsidRPr="00393AEC">
        <w:rPr>
          <w:color w:val="0070C0"/>
        </w:rPr>
        <w:lastRenderedPageBreak/>
        <w:t>using the 33% test subset</w:t>
      </w:r>
      <w:r w:rsidRPr="00393AEC">
        <w:rPr>
          <w:color w:val="0070C0"/>
        </w:rPr>
        <w:t xml:space="preserve">. </w:t>
      </w:r>
      <w:r w:rsidR="00EA01EC" w:rsidRPr="00393AEC">
        <w:rPr>
          <w:color w:val="0070C0"/>
        </w:rPr>
        <w:t xml:space="preserve">Table </w:t>
      </w:r>
      <w:r w:rsidR="00B716E6">
        <w:rPr>
          <w:color w:val="0070C0"/>
        </w:rPr>
        <w:t>5</w:t>
      </w:r>
      <w:r w:rsidR="00EA01EC" w:rsidRPr="00393AEC">
        <w:rPr>
          <w:color w:val="0070C0"/>
        </w:rPr>
        <w:t xml:space="preserve"> in Appendix B summarizes models that were fitted to the data, along with the details of packages that were used to implement them. Code samples will be made available on request, though it should be noted that the data itself cannot be shared dure to copyright and ethical constraints</w:t>
      </w:r>
      <w:r w:rsidR="00EA01EC" w:rsidRPr="005C06C2">
        <w:rPr>
          <w:color w:val="0070C0"/>
        </w:rPr>
        <w:t>.</w:t>
      </w:r>
    </w:p>
    <w:p w14:paraId="629212A0" w14:textId="77777777" w:rsidR="00751745" w:rsidRDefault="00751745" w:rsidP="00764234"/>
    <w:p w14:paraId="1FDDD8BC" w14:textId="5A9297DC" w:rsidR="008435E4" w:rsidRPr="00865CE6" w:rsidRDefault="00865CE6" w:rsidP="00764234">
      <w:pPr>
        <w:pStyle w:val="Heading1"/>
      </w:pPr>
      <w:r>
        <w:t>Results</w:t>
      </w:r>
    </w:p>
    <w:p w14:paraId="519D4AEC" w14:textId="0D9A3337" w:rsidR="00C443F4" w:rsidRDefault="00C443F4" w:rsidP="00764234">
      <w:pPr>
        <w:pStyle w:val="Heading2"/>
      </w:pPr>
      <w:r>
        <w:t>Demographics</w:t>
      </w:r>
      <w:r w:rsidR="008831D7">
        <w:t xml:space="preserve"> and Predictors</w:t>
      </w:r>
    </w:p>
    <w:p w14:paraId="5FE3A92F" w14:textId="32612D32" w:rsidR="00C443F4" w:rsidRPr="00C443F4" w:rsidRDefault="00C443F4" w:rsidP="00764234">
      <w:r w:rsidRPr="004927A5">
        <w:t xml:space="preserve">Table </w:t>
      </w:r>
      <w:r w:rsidR="004927A5" w:rsidRPr="004927A5">
        <w:t>6</w:t>
      </w:r>
      <w:r w:rsidR="00231DEE" w:rsidRPr="004927A5">
        <w:t xml:space="preserve"> in the Appendix</w:t>
      </w:r>
      <w:r w:rsidR="0000643A" w:rsidRPr="004927A5">
        <w:t xml:space="preserve"> </w:t>
      </w:r>
      <w:r w:rsidR="004927A5" w:rsidRPr="004927A5">
        <w:t>C</w:t>
      </w:r>
      <w:r w:rsidRPr="004927A5">
        <w:t xml:space="preserve"> summarizes</w:t>
      </w:r>
      <w:r>
        <w:t xml:space="preserve"> key demographic information of our sample, comparing it directly to the </w:t>
      </w:r>
      <w:r w:rsidR="00B73DB6">
        <w:t xml:space="preserve">data from </w:t>
      </w:r>
      <w:r>
        <w:t xml:space="preserve">NRCBM. Although we observe some minor differences (e.g., larger proportion of males) we note that it is not possible to determine whether these </w:t>
      </w:r>
      <w:r w:rsidR="0000643A">
        <w:t>disparities</w:t>
      </w:r>
      <w:r>
        <w:t xml:space="preserve"> are due to the changes in the EHRs (e.g.</w:t>
      </w:r>
      <w:r w:rsidR="006B7E1A">
        <w:t>,</w:t>
      </w:r>
      <w:r>
        <w:t xml:space="preserve"> how data are recorded in primary care) or whether they represent some more general time trends. </w:t>
      </w:r>
    </w:p>
    <w:p w14:paraId="75822F07" w14:textId="03DAC092" w:rsidR="00994354" w:rsidRPr="0087146D" w:rsidRDefault="00C443F4" w:rsidP="00764234">
      <w:r>
        <w:t xml:space="preserve">Overall, we were able to reproduce the steps for identifying predictors using Read codes </w:t>
      </w:r>
      <w:r w:rsidR="004E0767">
        <w:t xml:space="preserve">in combination with drug codes </w:t>
      </w:r>
      <w:r>
        <w:t xml:space="preserve">provided by NRCBM. </w:t>
      </w:r>
      <w:r w:rsidR="00994354">
        <w:t>One exception is</w:t>
      </w:r>
      <w:r w:rsidR="003E1BEE">
        <w:t xml:space="preserve"> </w:t>
      </w:r>
      <w:r w:rsidR="00276FB3">
        <w:t xml:space="preserve">that </w:t>
      </w:r>
      <w:r>
        <w:t>the Townsend Deprivation Index</w:t>
      </w:r>
      <w:r w:rsidR="003E1BEE">
        <w:t xml:space="preserve"> used by NRCBM</w:t>
      </w:r>
      <w:r>
        <w:t xml:space="preserve"> </w:t>
      </w:r>
      <w:r w:rsidR="002D47CF">
        <w:t xml:space="preserve">is no longer supplied by THIN, </w:t>
      </w:r>
      <w:r w:rsidR="003E1BEE">
        <w:t>as it was</w:t>
      </w:r>
      <w:r>
        <w:t xml:space="preserve"> replaced</w:t>
      </w:r>
      <w:r w:rsidR="008435E4">
        <w:t xml:space="preserve"> </w:t>
      </w:r>
      <w:r w:rsidR="002D47CF">
        <w:t>with</w:t>
      </w:r>
      <w:r>
        <w:t xml:space="preserve"> the Index of Multiple Deprivation (IMD).</w:t>
      </w:r>
      <w:r w:rsidR="003E1BEE">
        <w:t xml:space="preserve"> In Appendix </w:t>
      </w:r>
      <w:r w:rsidR="00B86BF2">
        <w:t>D</w:t>
      </w:r>
      <w:r w:rsidR="003E1BEE">
        <w:t xml:space="preserve"> we provide some further details about the similarity/differences between the two. </w:t>
      </w:r>
      <w:r w:rsidR="00994354">
        <w:t xml:space="preserve">A second point of difference is the number of visits to a </w:t>
      </w:r>
      <w:r w:rsidR="00F61C3E">
        <w:t>General Practitioner (GP), the</w:t>
      </w:r>
      <w:r w:rsidR="00994354">
        <w:t xml:space="preserve"> count predictor. NRCBM doubled the counts in the last six months (from the index date) for those individuals who were registered with a GP for less than a year. Since our data</w:t>
      </w:r>
      <w:r w:rsidR="00B86BF2">
        <w:t xml:space="preserve"> includes data from prior registrations </w:t>
      </w:r>
      <w:r w:rsidR="00B86BF2" w:rsidRPr="0087146D">
        <w:t>this</w:t>
      </w:r>
      <w:r w:rsidR="00994354" w:rsidRPr="0087146D">
        <w:t xml:space="preserve"> step was not necessary in our case.</w:t>
      </w:r>
    </w:p>
    <w:p w14:paraId="31FBDE88" w14:textId="40ED5C42" w:rsidR="00C443F4" w:rsidRDefault="002D47CF" w:rsidP="00764234">
      <w:r w:rsidRPr="0087146D">
        <w:t xml:space="preserve">Table </w:t>
      </w:r>
      <w:r w:rsidR="00D077A3" w:rsidRPr="0087146D">
        <w:t>7</w:t>
      </w:r>
      <w:r w:rsidR="00795BB6" w:rsidRPr="0087146D">
        <w:t xml:space="preserve"> </w:t>
      </w:r>
      <w:r w:rsidR="0000643A" w:rsidRPr="0087146D">
        <w:t>in the A</w:t>
      </w:r>
      <w:r w:rsidRPr="0087146D">
        <w:t>ppendix</w:t>
      </w:r>
      <w:r w:rsidR="00C75C17" w:rsidRPr="0087146D">
        <w:t xml:space="preserve"> </w:t>
      </w:r>
      <w:r w:rsidR="00B86BF2" w:rsidRPr="0087146D">
        <w:t>E</w:t>
      </w:r>
      <w:r w:rsidRPr="0087146D">
        <w:t xml:space="preserve"> provides information about the prevalence of all predictors in NRCBM and current replication, separately for cases and controls. </w:t>
      </w:r>
      <w:r w:rsidR="00C443F4" w:rsidRPr="0087146D">
        <w:t xml:space="preserve">In NRCBM, removing predictors with less than </w:t>
      </w:r>
      <w:r w:rsidR="00CD435B" w:rsidRPr="0087146D">
        <w:t>0</w:t>
      </w:r>
      <w:r w:rsidR="00C443F4" w:rsidRPr="0087146D">
        <w:t>.02% prevalence resulted in the exclusion of sleep (too much of), divorce, unemployment, teenage pregnancy, family history of abuse or</w:t>
      </w:r>
      <w:r w:rsidR="00C443F4" w:rsidRPr="00027B09">
        <w:t xml:space="preserve"> neglect, family history of drug misuse, family history of alcohol </w:t>
      </w:r>
      <w:r w:rsidR="00C443F4" w:rsidRPr="00027B09">
        <w:lastRenderedPageBreak/>
        <w:t>misuse</w:t>
      </w:r>
      <w:r w:rsidR="00C75C17">
        <w:t>,</w:t>
      </w:r>
      <w:r w:rsidR="00C443F4" w:rsidRPr="00027B09">
        <w:t xml:space="preserve"> and family history of depression.</w:t>
      </w:r>
      <w:r w:rsidR="00292882">
        <w:t xml:space="preserve"> </w:t>
      </w:r>
      <w:r w:rsidR="00E01DC5">
        <w:t xml:space="preserve">The same variables were removed in the present dataset, </w:t>
      </w:r>
      <w:proofErr w:type="gramStart"/>
      <w:r w:rsidR="00E01DC5">
        <w:t>with the exception of</w:t>
      </w:r>
      <w:proofErr w:type="gramEnd"/>
      <w:r w:rsidR="00E01DC5">
        <w:t xml:space="preserve"> </w:t>
      </w:r>
      <w:r>
        <w:t>s</w:t>
      </w:r>
      <w:r w:rsidR="00E01DC5">
        <w:t>leep (too much</w:t>
      </w:r>
      <w:r>
        <w:t xml:space="preserve"> of</w:t>
      </w:r>
      <w:r w:rsidR="00E01DC5">
        <w:t>) variable</w:t>
      </w:r>
      <w:r w:rsidR="00C75C17">
        <w:t xml:space="preserve"> as its prevalence </w:t>
      </w:r>
      <w:r w:rsidR="00E01DC5">
        <w:t>increased considerably for cases (from 0.03 to 0.3)</w:t>
      </w:r>
      <w:r w:rsidR="00C75C17">
        <w:t>,</w:t>
      </w:r>
      <w:r w:rsidR="00E01DC5">
        <w:t xml:space="preserve"> </w:t>
      </w:r>
      <w:r w:rsidR="00C75C17">
        <w:t xml:space="preserve">despite being </w:t>
      </w:r>
      <w:r w:rsidR="007C1122">
        <w:t>consistent</w:t>
      </w:r>
      <w:r w:rsidR="00E01DC5">
        <w:t xml:space="preserve"> for controls (0.01).  </w:t>
      </w:r>
    </w:p>
    <w:p w14:paraId="11084243" w14:textId="273F3C66" w:rsidR="0021065B" w:rsidRDefault="0021065B" w:rsidP="00764234">
      <w:pPr>
        <w:pStyle w:val="Heading2"/>
      </w:pPr>
      <w:r>
        <w:t>Stability of Stepwise Models</w:t>
      </w:r>
    </w:p>
    <w:p w14:paraId="3FFCD3FF" w14:textId="3CBA6748" w:rsidR="004C67E6" w:rsidRDefault="004C67E6" w:rsidP="00764234">
      <w:r w:rsidRPr="00E1537C">
        <w:t>We now turn to our primary objective and assess the replicability of the m</w:t>
      </w:r>
      <w:r>
        <w:t>ain results reported by NRCBM. Following the removal of predictors with low prevalence, a backward stepwise selection (with 0.01 p-value cut-off) was applied to the four dataset</w:t>
      </w:r>
      <w:r w:rsidR="00EB171A">
        <w:t>s</w:t>
      </w:r>
      <w:r>
        <w:t xml:space="preserve"> split by age and gender. Table </w:t>
      </w:r>
      <w:r w:rsidR="00B07491">
        <w:t>2</w:t>
      </w:r>
      <w:r>
        <w:t xml:space="preserve"> summarizes the </w:t>
      </w:r>
      <w:r w:rsidR="00EB4F7F">
        <w:t>predictors that were included/removed for each group in NRCBM and in the present study</w:t>
      </w:r>
      <w:r>
        <w:t>.</w:t>
      </w:r>
    </w:p>
    <w:p w14:paraId="3B93318A" w14:textId="5C6B274C" w:rsidR="00955348" w:rsidRDefault="001F7DF9" w:rsidP="00764234">
      <w:pPr>
        <w:rPr>
          <w:b/>
          <w:bCs/>
          <w:i/>
          <w:iCs/>
        </w:rPr>
      </w:pPr>
      <w:r w:rsidRPr="001F7DF9">
        <w:rPr>
          <w:b/>
          <w:bCs/>
        </w:rPr>
        <w:t>Table 2</w:t>
      </w:r>
      <w:r>
        <w:rPr>
          <w:b/>
          <w:bCs/>
          <w:i/>
          <w:iCs/>
        </w:rPr>
        <w:t xml:space="preserve"> </w:t>
      </w:r>
      <w:r w:rsidR="00955348" w:rsidRPr="00BF521F">
        <w:rPr>
          <w:b/>
          <w:bCs/>
          <w:i/>
          <w:iCs/>
        </w:rPr>
        <w:t>[</w:t>
      </w:r>
      <w:r w:rsidR="00511D5E">
        <w:rPr>
          <w:b/>
          <w:bCs/>
          <w:i/>
          <w:iCs/>
        </w:rPr>
        <w:t>View Table 2, also present at end of this manuscript</w:t>
      </w:r>
      <w:r w:rsidR="00955348" w:rsidRPr="00BF521F">
        <w:rPr>
          <w:b/>
          <w:bCs/>
          <w:i/>
          <w:iCs/>
        </w:rPr>
        <w:t>]</w:t>
      </w:r>
    </w:p>
    <w:p w14:paraId="55147EA4" w14:textId="77777777" w:rsidR="00B33B4A" w:rsidRPr="00BF521F" w:rsidRDefault="00B33B4A" w:rsidP="00764234">
      <w:pPr>
        <w:rPr>
          <w:b/>
          <w:bCs/>
          <w:i/>
          <w:iCs/>
        </w:rPr>
      </w:pPr>
    </w:p>
    <w:p w14:paraId="656B2E93" w14:textId="4D3B6A1A" w:rsidR="00AD499C" w:rsidRDefault="00D85DE1" w:rsidP="00764234">
      <w:r>
        <w:tab/>
        <w:t xml:space="preserve">Overall, the backward stepwise selection procedure </w:t>
      </w:r>
      <w:r w:rsidR="00931673">
        <w:t xml:space="preserve">produces </w:t>
      </w:r>
      <w:r w:rsidR="00945C1E">
        <w:t xml:space="preserve">similar </w:t>
      </w:r>
      <w:r>
        <w:t>results between the predictors used in the present study and those used by NRCBM</w:t>
      </w:r>
      <w:r w:rsidR="00715196">
        <w:t>. Indeed,</w:t>
      </w:r>
      <w:r>
        <w:t xml:space="preserve"> </w:t>
      </w:r>
      <w:r w:rsidR="00715196">
        <w:t>t</w:t>
      </w:r>
      <w:r w:rsidR="00931673">
        <w:t>he correlation (phi) between the NRCBM and replication predictors for F 15-18, F</w:t>
      </w:r>
      <w:r w:rsidR="0070345F">
        <w:t xml:space="preserve"> </w:t>
      </w:r>
      <w:r w:rsidR="00931673">
        <w:t>19-24 and M 15-18 indicates a strong positive relationship, and</w:t>
      </w:r>
      <w:r w:rsidR="00715196">
        <w:t xml:space="preserve"> a moderate relationship</w:t>
      </w:r>
      <w:r w:rsidR="00931673">
        <w:t xml:space="preserve"> for </w:t>
      </w:r>
      <w:r w:rsidR="00715196">
        <w:t xml:space="preserve">the </w:t>
      </w:r>
      <w:r w:rsidR="00931673">
        <w:t>M</w:t>
      </w:r>
      <w:r w:rsidR="0070345F">
        <w:t xml:space="preserve"> </w:t>
      </w:r>
      <w:r w:rsidR="00931673">
        <w:t>19-24</w:t>
      </w:r>
      <w:r w:rsidR="00715196">
        <w:t xml:space="preserve"> group</w:t>
      </w:r>
      <w:r w:rsidR="00931673">
        <w:t xml:space="preserve">. </w:t>
      </w:r>
      <w:r w:rsidR="00552CD6">
        <w:t>Despite these correlations,</w:t>
      </w:r>
      <w:r w:rsidR="00CE7544">
        <w:t xml:space="preserve"> </w:t>
      </w:r>
      <w:r w:rsidR="00552CD6">
        <w:t>there are some notable differences between</w:t>
      </w:r>
      <w:r w:rsidR="00A319A0">
        <w:t xml:space="preserve"> selected predictors</w:t>
      </w:r>
      <w:r w:rsidR="00552CD6">
        <w:t>.</w:t>
      </w:r>
      <w:r w:rsidR="003D4C62">
        <w:t xml:space="preserve"> </w:t>
      </w:r>
      <w:r w:rsidR="00A319A0">
        <w:t>In fact, m</w:t>
      </w:r>
      <w:r w:rsidR="00C521A2">
        <w:t xml:space="preserve">any seemingly relevant predictors are not consistently identified. For example, drug misuse in the F 15-18 group was retained as a predictor in the present </w:t>
      </w:r>
      <w:r w:rsidR="00EB171A">
        <w:t>study but</w:t>
      </w:r>
      <w:r w:rsidR="00C521A2">
        <w:t xml:space="preserve"> did not survive the stepwise procedure in the NRCBM analysis. Conversely, tiredness featured as a predictor in the final model for the M 15-18 group, but this variable was excluded in the present study. </w:t>
      </w:r>
      <w:r w:rsidR="00B22D6F">
        <w:t xml:space="preserve">Some other relevant variables that are not consistent in this </w:t>
      </w:r>
      <w:r w:rsidR="007C1122">
        <w:t>manner</w:t>
      </w:r>
      <w:r w:rsidR="00B22D6F">
        <w:t xml:space="preserve"> include weight loss, PTSD, and other somatic symptoms.</w:t>
      </w:r>
    </w:p>
    <w:p w14:paraId="63F7AFEE" w14:textId="6FD1125E" w:rsidR="00B07491" w:rsidRDefault="00AD499C" w:rsidP="00764234">
      <w:pPr>
        <w:rPr>
          <w:rFonts w:eastAsia="Times New Roman" w:cstheme="minorHAnsi"/>
          <w:b/>
          <w:bCs/>
          <w:lang w:eastAsia="nl-NL"/>
        </w:rPr>
      </w:pPr>
      <w:r>
        <w:tab/>
        <w:t>We now turn to the modelling results</w:t>
      </w:r>
      <w:r w:rsidR="005F72CC">
        <w:t xml:space="preserve"> and compare</w:t>
      </w:r>
      <w:r>
        <w:t xml:space="preserve"> the odds ratios (ORs) for each predictor used in the replication and in the NRCBM’s study, separately for the four </w:t>
      </w:r>
      <w:r w:rsidR="005A56E9">
        <w:t>demographic groups</w:t>
      </w:r>
      <w:r>
        <w:t xml:space="preserve">. </w:t>
      </w:r>
      <w:r w:rsidR="00CA31B4">
        <w:t>These results are summarized in Figure</w:t>
      </w:r>
      <w:r w:rsidR="005A56E9">
        <w:t>s</w:t>
      </w:r>
      <w:r w:rsidR="00CA31B4">
        <w:t xml:space="preserve"> </w:t>
      </w:r>
      <w:r w:rsidR="002F5600">
        <w:t>2</w:t>
      </w:r>
      <w:r w:rsidR="00E85180">
        <w:t xml:space="preserve"> to </w:t>
      </w:r>
      <w:r w:rsidR="002F5600">
        <w:t>5</w:t>
      </w:r>
      <w:r w:rsidR="00CA31B4">
        <w:t>.</w:t>
      </w:r>
    </w:p>
    <w:p w14:paraId="2BB63BF3" w14:textId="77777777" w:rsidR="000B6C54" w:rsidRDefault="000B6C54" w:rsidP="00BF521F">
      <w:pPr>
        <w:pStyle w:val="Caption"/>
        <w:ind w:firstLine="0"/>
        <w:rPr>
          <w:rFonts w:asciiTheme="minorHAnsi" w:hAnsiTheme="minorHAnsi" w:cstheme="minorHAnsi"/>
          <w:b/>
          <w:bCs/>
          <w:i w:val="0"/>
          <w:iCs w:val="0"/>
          <w:sz w:val="22"/>
          <w:szCs w:val="22"/>
        </w:rPr>
      </w:pPr>
    </w:p>
    <w:p w14:paraId="779E1E3C" w14:textId="0A0CE4E8" w:rsidR="00E85180" w:rsidRPr="00BF521F" w:rsidRDefault="00E85180" w:rsidP="00BF521F">
      <w:pPr>
        <w:pStyle w:val="Caption"/>
        <w:ind w:firstLine="0"/>
        <w:rPr>
          <w:rFonts w:asciiTheme="minorHAnsi" w:hAnsiTheme="minorHAnsi" w:cstheme="minorHAnsi"/>
          <w:b/>
          <w:bCs/>
          <w:i w:val="0"/>
          <w:iCs w:val="0"/>
          <w:noProof/>
          <w:sz w:val="22"/>
          <w:szCs w:val="22"/>
        </w:rPr>
      </w:pPr>
      <w:r w:rsidRPr="00BF521F">
        <w:rPr>
          <w:rFonts w:asciiTheme="minorHAnsi" w:hAnsiTheme="minorHAnsi" w:cstheme="minorHAnsi"/>
          <w:b/>
          <w:bCs/>
          <w:i w:val="0"/>
          <w:iCs w:val="0"/>
          <w:sz w:val="22"/>
          <w:szCs w:val="22"/>
        </w:rPr>
        <w:t xml:space="preserve">Figure </w:t>
      </w:r>
      <w:r w:rsidRPr="00BF521F">
        <w:rPr>
          <w:rFonts w:asciiTheme="minorHAnsi" w:hAnsiTheme="minorHAnsi" w:cstheme="minorHAnsi"/>
          <w:b/>
          <w:bCs/>
          <w:i w:val="0"/>
          <w:iCs w:val="0"/>
          <w:sz w:val="22"/>
          <w:szCs w:val="22"/>
        </w:rPr>
        <w:fldChar w:fldCharType="begin"/>
      </w:r>
      <w:r w:rsidRPr="00BF521F">
        <w:rPr>
          <w:rFonts w:asciiTheme="minorHAnsi" w:hAnsiTheme="minorHAnsi" w:cstheme="minorHAnsi"/>
          <w:b/>
          <w:bCs/>
          <w:i w:val="0"/>
          <w:iCs w:val="0"/>
          <w:sz w:val="22"/>
          <w:szCs w:val="22"/>
        </w:rPr>
        <w:instrText xml:space="preserve"> SEQ Figure \* ARABIC </w:instrText>
      </w:r>
      <w:r w:rsidRPr="00BF521F">
        <w:rPr>
          <w:rFonts w:asciiTheme="minorHAnsi" w:hAnsiTheme="minorHAnsi" w:cstheme="minorHAnsi"/>
          <w:b/>
          <w:bCs/>
          <w:i w:val="0"/>
          <w:iCs w:val="0"/>
          <w:sz w:val="22"/>
          <w:szCs w:val="22"/>
        </w:rPr>
        <w:fldChar w:fldCharType="separate"/>
      </w:r>
      <w:r w:rsidR="00174330" w:rsidRPr="00BF521F">
        <w:rPr>
          <w:rFonts w:asciiTheme="minorHAnsi" w:hAnsiTheme="minorHAnsi" w:cstheme="minorHAnsi"/>
          <w:b/>
          <w:bCs/>
          <w:i w:val="0"/>
          <w:iCs w:val="0"/>
          <w:noProof/>
          <w:sz w:val="22"/>
          <w:szCs w:val="22"/>
        </w:rPr>
        <w:t>2</w:t>
      </w:r>
      <w:r w:rsidRPr="00BF521F">
        <w:rPr>
          <w:rFonts w:asciiTheme="minorHAnsi" w:hAnsiTheme="minorHAnsi" w:cstheme="minorHAnsi"/>
          <w:b/>
          <w:bCs/>
          <w:i w:val="0"/>
          <w:iCs w:val="0"/>
          <w:noProof/>
          <w:sz w:val="22"/>
          <w:szCs w:val="22"/>
        </w:rPr>
        <w:fldChar w:fldCharType="end"/>
      </w:r>
    </w:p>
    <w:p w14:paraId="127A7608" w14:textId="65DAC1EF" w:rsidR="007D7ADC" w:rsidRPr="00BF521F" w:rsidRDefault="007D7ADC" w:rsidP="00764234">
      <w:pPr>
        <w:rPr>
          <w:i/>
          <w:iCs/>
          <w:lang w:eastAsia="nl-NL"/>
        </w:rPr>
      </w:pPr>
      <w:r w:rsidRPr="00BF521F">
        <w:rPr>
          <w:i/>
          <w:iCs/>
          <w:lang w:eastAsia="nl-NL"/>
        </w:rPr>
        <w:t xml:space="preserve">Odds ratio vs predictor for females </w:t>
      </w:r>
      <w:r w:rsidR="00872127" w:rsidRPr="00BF521F">
        <w:rPr>
          <w:i/>
          <w:iCs/>
          <w:lang w:eastAsia="nl-NL"/>
        </w:rPr>
        <w:t xml:space="preserve">ages </w:t>
      </w:r>
      <w:r w:rsidRPr="00BF521F">
        <w:rPr>
          <w:i/>
          <w:iCs/>
          <w:lang w:eastAsia="nl-NL"/>
        </w:rPr>
        <w:t xml:space="preserve">15-18 </w:t>
      </w:r>
    </w:p>
    <w:p w14:paraId="02F044CA" w14:textId="6ACDCB9B" w:rsidR="007519CC" w:rsidRDefault="00E22F8D" w:rsidP="00764234">
      <w:pPr>
        <w:rPr>
          <w:noProof/>
          <w:lang w:eastAsia="en-GB"/>
        </w:rPr>
      </w:pPr>
      <w:r>
        <w:rPr>
          <w:noProof/>
          <w:lang w:eastAsia="en-GB"/>
        </w:rPr>
        <w:drawing>
          <wp:inline distT="0" distB="0" distL="0" distR="0" wp14:anchorId="7408DED5" wp14:editId="53358D42">
            <wp:extent cx="5731510" cy="5731510"/>
            <wp:effectExtent l="0" t="0" r="2540" b="2540"/>
            <wp:docPr id="1133399043"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99043" name="Picture 1" descr="A screenshot of a compute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963F4B1" w14:textId="47EBD4D8" w:rsidR="00E85180" w:rsidRDefault="00E85180" w:rsidP="00764234">
      <w:pPr>
        <w:rPr>
          <w:lang w:eastAsia="nl-NL"/>
        </w:rPr>
      </w:pPr>
    </w:p>
    <w:p w14:paraId="7032F7FD" w14:textId="77777777" w:rsidR="00AC50DF" w:rsidRDefault="00AC50DF" w:rsidP="00764234">
      <w:pPr>
        <w:rPr>
          <w:lang w:eastAsia="nl-NL"/>
        </w:rPr>
      </w:pPr>
    </w:p>
    <w:p w14:paraId="0CA55B8B" w14:textId="77777777" w:rsidR="00AC50DF" w:rsidRDefault="00AC50DF" w:rsidP="00764234">
      <w:pPr>
        <w:rPr>
          <w:lang w:eastAsia="nl-NL"/>
        </w:rPr>
      </w:pPr>
    </w:p>
    <w:p w14:paraId="59A6C685" w14:textId="77777777" w:rsidR="00AC50DF" w:rsidRDefault="00AC50DF" w:rsidP="00764234">
      <w:pPr>
        <w:rPr>
          <w:lang w:eastAsia="nl-NL"/>
        </w:rPr>
      </w:pPr>
    </w:p>
    <w:p w14:paraId="564716AB" w14:textId="77777777" w:rsidR="000B6C54" w:rsidRDefault="000B6C54" w:rsidP="000B6C54">
      <w:pPr>
        <w:pStyle w:val="Caption"/>
        <w:ind w:firstLine="0"/>
        <w:rPr>
          <w:rFonts w:asciiTheme="minorHAnsi" w:hAnsiTheme="minorHAnsi" w:cstheme="minorHAnsi"/>
          <w:b/>
          <w:bCs/>
          <w:i w:val="0"/>
          <w:iCs w:val="0"/>
          <w:sz w:val="22"/>
          <w:szCs w:val="22"/>
        </w:rPr>
      </w:pPr>
    </w:p>
    <w:p w14:paraId="45625D64" w14:textId="3F17518C" w:rsidR="007519CC" w:rsidRPr="000B6C54" w:rsidRDefault="00E85180" w:rsidP="000B6C54">
      <w:pPr>
        <w:pStyle w:val="Caption"/>
        <w:ind w:firstLine="0"/>
        <w:rPr>
          <w:rFonts w:asciiTheme="minorHAnsi" w:hAnsiTheme="minorHAnsi" w:cstheme="minorHAnsi"/>
          <w:b/>
          <w:bCs/>
          <w:i w:val="0"/>
          <w:iCs w:val="0"/>
          <w:sz w:val="22"/>
          <w:szCs w:val="22"/>
        </w:rPr>
      </w:pPr>
      <w:r w:rsidRPr="000B6C54">
        <w:rPr>
          <w:rFonts w:asciiTheme="minorHAnsi" w:hAnsiTheme="minorHAnsi" w:cstheme="minorHAnsi"/>
          <w:b/>
          <w:bCs/>
          <w:i w:val="0"/>
          <w:iCs w:val="0"/>
          <w:sz w:val="22"/>
          <w:szCs w:val="22"/>
        </w:rPr>
        <w:t xml:space="preserve">Figure </w:t>
      </w:r>
      <w:r w:rsidRPr="000B6C54">
        <w:rPr>
          <w:rFonts w:asciiTheme="minorHAnsi" w:hAnsiTheme="minorHAnsi" w:cstheme="minorHAnsi"/>
          <w:b/>
          <w:bCs/>
          <w:i w:val="0"/>
          <w:iCs w:val="0"/>
          <w:sz w:val="22"/>
          <w:szCs w:val="22"/>
        </w:rPr>
        <w:fldChar w:fldCharType="begin"/>
      </w:r>
      <w:r w:rsidRPr="000B6C54">
        <w:rPr>
          <w:rFonts w:asciiTheme="minorHAnsi" w:hAnsiTheme="minorHAnsi" w:cstheme="minorHAnsi"/>
          <w:b/>
          <w:bCs/>
          <w:i w:val="0"/>
          <w:iCs w:val="0"/>
          <w:sz w:val="22"/>
          <w:szCs w:val="22"/>
        </w:rPr>
        <w:instrText xml:space="preserve"> SEQ Figure \* ARABIC </w:instrText>
      </w:r>
      <w:r w:rsidRPr="000B6C54">
        <w:rPr>
          <w:rFonts w:asciiTheme="minorHAnsi" w:hAnsiTheme="minorHAnsi" w:cstheme="minorHAnsi"/>
          <w:b/>
          <w:bCs/>
          <w:i w:val="0"/>
          <w:iCs w:val="0"/>
          <w:sz w:val="22"/>
          <w:szCs w:val="22"/>
        </w:rPr>
        <w:fldChar w:fldCharType="separate"/>
      </w:r>
      <w:r w:rsidR="00174330" w:rsidRPr="000B6C54">
        <w:rPr>
          <w:rFonts w:asciiTheme="minorHAnsi" w:hAnsiTheme="minorHAnsi" w:cstheme="minorHAnsi"/>
          <w:b/>
          <w:bCs/>
          <w:i w:val="0"/>
          <w:iCs w:val="0"/>
          <w:sz w:val="22"/>
          <w:szCs w:val="22"/>
        </w:rPr>
        <w:t>3</w:t>
      </w:r>
      <w:r w:rsidRPr="000B6C54">
        <w:rPr>
          <w:rFonts w:asciiTheme="minorHAnsi" w:hAnsiTheme="minorHAnsi" w:cstheme="minorHAnsi"/>
          <w:b/>
          <w:bCs/>
          <w:i w:val="0"/>
          <w:iCs w:val="0"/>
          <w:sz w:val="22"/>
          <w:szCs w:val="22"/>
        </w:rPr>
        <w:fldChar w:fldCharType="end"/>
      </w:r>
    </w:p>
    <w:p w14:paraId="4D100EB7" w14:textId="6AF0A61F" w:rsidR="00970D89" w:rsidRPr="000B6C54" w:rsidRDefault="00970D89" w:rsidP="00764234">
      <w:pPr>
        <w:rPr>
          <w:i/>
          <w:iCs/>
          <w:lang w:eastAsia="nl-NL"/>
        </w:rPr>
      </w:pPr>
      <w:r w:rsidRPr="000B6C54">
        <w:rPr>
          <w:i/>
          <w:iCs/>
          <w:lang w:eastAsia="nl-NL"/>
        </w:rPr>
        <w:t xml:space="preserve">Odds ratio vs predictor for females </w:t>
      </w:r>
      <w:r w:rsidR="00872127" w:rsidRPr="000B6C54">
        <w:rPr>
          <w:i/>
          <w:iCs/>
          <w:lang w:eastAsia="nl-NL"/>
        </w:rPr>
        <w:t xml:space="preserve">ages </w:t>
      </w:r>
      <w:r w:rsidRPr="000B6C54">
        <w:rPr>
          <w:i/>
          <w:iCs/>
          <w:lang w:eastAsia="nl-NL"/>
        </w:rPr>
        <w:t xml:space="preserve">19-24 </w:t>
      </w:r>
    </w:p>
    <w:p w14:paraId="74146267" w14:textId="77777777" w:rsidR="00970D89" w:rsidRPr="00970D89" w:rsidRDefault="00970D89" w:rsidP="00764234">
      <w:pPr>
        <w:rPr>
          <w:lang w:eastAsia="nl-NL"/>
        </w:rPr>
      </w:pPr>
    </w:p>
    <w:p w14:paraId="53717350" w14:textId="4DB05155" w:rsidR="00E85180" w:rsidRDefault="00E22F8D" w:rsidP="00764234">
      <w:r>
        <w:rPr>
          <w:noProof/>
        </w:rPr>
        <w:drawing>
          <wp:inline distT="0" distB="0" distL="0" distR="0" wp14:anchorId="002D15B4" wp14:editId="2E863137">
            <wp:extent cx="5731510" cy="5731510"/>
            <wp:effectExtent l="0" t="0" r="2540" b="2540"/>
            <wp:docPr id="1698841460" name="Picture 2"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41460" name="Picture 2" descr="A screenshot of a computer screen&#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97D1809" w14:textId="6E1AD1BA" w:rsidR="00E85180" w:rsidRDefault="00E85180" w:rsidP="00764234">
      <w:pPr>
        <w:rPr>
          <w:lang w:eastAsia="nl-NL"/>
        </w:rPr>
      </w:pPr>
    </w:p>
    <w:p w14:paraId="36595232" w14:textId="77777777" w:rsidR="00AC50DF" w:rsidRDefault="00AC50DF" w:rsidP="00764234">
      <w:pPr>
        <w:pStyle w:val="Caption"/>
      </w:pPr>
    </w:p>
    <w:p w14:paraId="402F88ED" w14:textId="77777777" w:rsidR="00AC50DF" w:rsidRDefault="00AC50DF" w:rsidP="00764234">
      <w:pPr>
        <w:pStyle w:val="Caption"/>
      </w:pPr>
    </w:p>
    <w:p w14:paraId="1E4D39BB" w14:textId="77777777" w:rsidR="00AC50DF" w:rsidRDefault="00AC50DF" w:rsidP="00764234">
      <w:pPr>
        <w:pStyle w:val="Caption"/>
      </w:pPr>
    </w:p>
    <w:p w14:paraId="2E16074E" w14:textId="77777777" w:rsidR="00AC50DF" w:rsidRDefault="00AC50DF" w:rsidP="00393AEC">
      <w:pPr>
        <w:pStyle w:val="Caption"/>
        <w:ind w:firstLine="0"/>
      </w:pPr>
    </w:p>
    <w:p w14:paraId="3DFF69EC" w14:textId="77777777" w:rsidR="00AC50DF" w:rsidRDefault="00AC50DF" w:rsidP="00764234">
      <w:pPr>
        <w:pStyle w:val="Caption"/>
      </w:pPr>
    </w:p>
    <w:p w14:paraId="2AE693E2" w14:textId="5B5A0AF6" w:rsidR="005A56E9" w:rsidRPr="000B6C54" w:rsidRDefault="00E85180" w:rsidP="000B6C54">
      <w:pPr>
        <w:pStyle w:val="Caption"/>
        <w:ind w:firstLine="0"/>
        <w:rPr>
          <w:rFonts w:asciiTheme="minorHAnsi" w:hAnsiTheme="minorHAnsi" w:cstheme="minorHAnsi"/>
          <w:b/>
          <w:bCs/>
          <w:i w:val="0"/>
          <w:iCs w:val="0"/>
          <w:sz w:val="22"/>
          <w:szCs w:val="22"/>
        </w:rPr>
      </w:pPr>
      <w:r w:rsidRPr="000B6C54">
        <w:rPr>
          <w:rFonts w:asciiTheme="minorHAnsi" w:hAnsiTheme="minorHAnsi" w:cstheme="minorHAnsi"/>
          <w:b/>
          <w:bCs/>
          <w:i w:val="0"/>
          <w:iCs w:val="0"/>
          <w:sz w:val="22"/>
          <w:szCs w:val="22"/>
        </w:rPr>
        <w:t xml:space="preserve">Figure </w:t>
      </w:r>
      <w:r w:rsidRPr="000B6C54">
        <w:rPr>
          <w:rFonts w:asciiTheme="minorHAnsi" w:hAnsiTheme="minorHAnsi" w:cstheme="minorHAnsi"/>
          <w:b/>
          <w:bCs/>
          <w:i w:val="0"/>
          <w:iCs w:val="0"/>
          <w:sz w:val="22"/>
          <w:szCs w:val="22"/>
        </w:rPr>
        <w:fldChar w:fldCharType="begin"/>
      </w:r>
      <w:r w:rsidRPr="000B6C54">
        <w:rPr>
          <w:rFonts w:asciiTheme="minorHAnsi" w:hAnsiTheme="minorHAnsi" w:cstheme="minorHAnsi"/>
          <w:b/>
          <w:bCs/>
          <w:i w:val="0"/>
          <w:iCs w:val="0"/>
          <w:sz w:val="22"/>
          <w:szCs w:val="22"/>
        </w:rPr>
        <w:instrText xml:space="preserve"> SEQ Figure \* ARABIC </w:instrText>
      </w:r>
      <w:r w:rsidRPr="000B6C54">
        <w:rPr>
          <w:rFonts w:asciiTheme="minorHAnsi" w:hAnsiTheme="minorHAnsi" w:cstheme="minorHAnsi"/>
          <w:b/>
          <w:bCs/>
          <w:i w:val="0"/>
          <w:iCs w:val="0"/>
          <w:sz w:val="22"/>
          <w:szCs w:val="22"/>
        </w:rPr>
        <w:fldChar w:fldCharType="separate"/>
      </w:r>
      <w:r w:rsidR="00174330" w:rsidRPr="000B6C54">
        <w:rPr>
          <w:rFonts w:asciiTheme="minorHAnsi" w:hAnsiTheme="minorHAnsi" w:cstheme="minorHAnsi"/>
          <w:b/>
          <w:bCs/>
          <w:i w:val="0"/>
          <w:iCs w:val="0"/>
          <w:sz w:val="22"/>
          <w:szCs w:val="22"/>
        </w:rPr>
        <w:t>4</w:t>
      </w:r>
      <w:r w:rsidRPr="000B6C54">
        <w:rPr>
          <w:rFonts w:asciiTheme="minorHAnsi" w:hAnsiTheme="minorHAnsi" w:cstheme="minorHAnsi"/>
          <w:b/>
          <w:bCs/>
          <w:i w:val="0"/>
          <w:iCs w:val="0"/>
          <w:sz w:val="22"/>
          <w:szCs w:val="22"/>
        </w:rPr>
        <w:fldChar w:fldCharType="end"/>
      </w:r>
    </w:p>
    <w:p w14:paraId="55EEE2F2" w14:textId="4791ED15" w:rsidR="00381E6C" w:rsidRPr="000B6C54" w:rsidRDefault="00381E6C" w:rsidP="00764234">
      <w:pPr>
        <w:rPr>
          <w:i/>
          <w:iCs/>
          <w:lang w:eastAsia="nl-NL"/>
        </w:rPr>
      </w:pPr>
      <w:r w:rsidRPr="000B6C54">
        <w:rPr>
          <w:i/>
          <w:iCs/>
          <w:lang w:eastAsia="nl-NL"/>
        </w:rPr>
        <w:t xml:space="preserve">Odds ratio vs predictor for males </w:t>
      </w:r>
      <w:r w:rsidR="00872127" w:rsidRPr="000B6C54">
        <w:rPr>
          <w:i/>
          <w:iCs/>
          <w:lang w:eastAsia="nl-NL"/>
        </w:rPr>
        <w:t xml:space="preserve">ages </w:t>
      </w:r>
      <w:r w:rsidRPr="000B6C54">
        <w:rPr>
          <w:i/>
          <w:iCs/>
          <w:lang w:eastAsia="nl-NL"/>
        </w:rPr>
        <w:t xml:space="preserve">15-18 </w:t>
      </w:r>
    </w:p>
    <w:p w14:paraId="7B6111A5" w14:textId="77777777" w:rsidR="00381E6C" w:rsidRPr="00381E6C" w:rsidRDefault="00381E6C" w:rsidP="00764234">
      <w:pPr>
        <w:rPr>
          <w:lang w:eastAsia="nl-NL"/>
        </w:rPr>
      </w:pPr>
    </w:p>
    <w:p w14:paraId="6FFDA0D0" w14:textId="56D63559" w:rsidR="005A56E9" w:rsidRDefault="00E22F8D" w:rsidP="00764234">
      <w:r>
        <w:rPr>
          <w:noProof/>
        </w:rPr>
        <w:drawing>
          <wp:inline distT="0" distB="0" distL="0" distR="0" wp14:anchorId="72C97BE2" wp14:editId="30870300">
            <wp:extent cx="5731510" cy="5731510"/>
            <wp:effectExtent l="0" t="0" r="2540" b="2540"/>
            <wp:docPr id="776590261" name="Picture 3"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590261" name="Picture 3" descr="A screenshot of a computer screen&#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51E798B8" w14:textId="0A8F6651" w:rsidR="00E85180" w:rsidRDefault="00E85180" w:rsidP="00764234">
      <w:pPr>
        <w:rPr>
          <w:lang w:eastAsia="nl-NL"/>
        </w:rPr>
      </w:pPr>
    </w:p>
    <w:p w14:paraId="682B8913" w14:textId="77777777" w:rsidR="00AC50DF" w:rsidRDefault="00AC50DF" w:rsidP="00764234">
      <w:pPr>
        <w:rPr>
          <w:lang w:eastAsia="nl-NL"/>
        </w:rPr>
      </w:pPr>
    </w:p>
    <w:p w14:paraId="6F2B65AD" w14:textId="77777777" w:rsidR="00AC50DF" w:rsidRDefault="00AC50DF" w:rsidP="00764234">
      <w:pPr>
        <w:rPr>
          <w:lang w:eastAsia="nl-NL"/>
        </w:rPr>
      </w:pPr>
    </w:p>
    <w:p w14:paraId="030E6814" w14:textId="5DFCC94D" w:rsidR="00E85180" w:rsidRPr="000B6C54" w:rsidRDefault="00E85180" w:rsidP="000B6C54">
      <w:pPr>
        <w:pStyle w:val="Caption"/>
        <w:ind w:firstLine="0"/>
        <w:rPr>
          <w:rFonts w:asciiTheme="minorHAnsi" w:hAnsiTheme="minorHAnsi" w:cstheme="minorHAnsi"/>
          <w:b/>
          <w:bCs/>
          <w:i w:val="0"/>
          <w:iCs w:val="0"/>
          <w:sz w:val="22"/>
          <w:szCs w:val="22"/>
        </w:rPr>
      </w:pPr>
      <w:r w:rsidRPr="000B6C54">
        <w:rPr>
          <w:rFonts w:asciiTheme="minorHAnsi" w:hAnsiTheme="minorHAnsi" w:cstheme="minorHAnsi"/>
          <w:b/>
          <w:bCs/>
          <w:i w:val="0"/>
          <w:iCs w:val="0"/>
          <w:sz w:val="22"/>
          <w:szCs w:val="22"/>
        </w:rPr>
        <w:lastRenderedPageBreak/>
        <w:t xml:space="preserve">Figure </w:t>
      </w:r>
      <w:r w:rsidRPr="000B6C54">
        <w:rPr>
          <w:rFonts w:asciiTheme="minorHAnsi" w:hAnsiTheme="minorHAnsi" w:cstheme="minorHAnsi"/>
          <w:b/>
          <w:bCs/>
          <w:i w:val="0"/>
          <w:iCs w:val="0"/>
          <w:sz w:val="22"/>
          <w:szCs w:val="22"/>
        </w:rPr>
        <w:fldChar w:fldCharType="begin"/>
      </w:r>
      <w:r w:rsidRPr="000B6C54">
        <w:rPr>
          <w:rFonts w:asciiTheme="minorHAnsi" w:hAnsiTheme="minorHAnsi" w:cstheme="minorHAnsi"/>
          <w:b/>
          <w:bCs/>
          <w:i w:val="0"/>
          <w:iCs w:val="0"/>
          <w:sz w:val="22"/>
          <w:szCs w:val="22"/>
        </w:rPr>
        <w:instrText xml:space="preserve"> SEQ Figure \* ARABIC </w:instrText>
      </w:r>
      <w:r w:rsidRPr="000B6C54">
        <w:rPr>
          <w:rFonts w:asciiTheme="minorHAnsi" w:hAnsiTheme="minorHAnsi" w:cstheme="minorHAnsi"/>
          <w:b/>
          <w:bCs/>
          <w:i w:val="0"/>
          <w:iCs w:val="0"/>
          <w:sz w:val="22"/>
          <w:szCs w:val="22"/>
        </w:rPr>
        <w:fldChar w:fldCharType="separate"/>
      </w:r>
      <w:r w:rsidR="00174330" w:rsidRPr="000B6C54">
        <w:rPr>
          <w:rFonts w:asciiTheme="minorHAnsi" w:hAnsiTheme="minorHAnsi" w:cstheme="minorHAnsi"/>
          <w:b/>
          <w:bCs/>
          <w:i w:val="0"/>
          <w:iCs w:val="0"/>
          <w:sz w:val="22"/>
          <w:szCs w:val="22"/>
        </w:rPr>
        <w:t>5</w:t>
      </w:r>
      <w:r w:rsidRPr="000B6C54">
        <w:rPr>
          <w:rFonts w:asciiTheme="minorHAnsi" w:hAnsiTheme="minorHAnsi" w:cstheme="minorHAnsi"/>
          <w:b/>
          <w:bCs/>
          <w:i w:val="0"/>
          <w:iCs w:val="0"/>
          <w:sz w:val="22"/>
          <w:szCs w:val="22"/>
        </w:rPr>
        <w:fldChar w:fldCharType="end"/>
      </w:r>
    </w:p>
    <w:p w14:paraId="22A08C25" w14:textId="0C21C438" w:rsidR="00381E6C" w:rsidRPr="000B6C54" w:rsidRDefault="00381E6C" w:rsidP="00764234">
      <w:pPr>
        <w:rPr>
          <w:i/>
          <w:iCs/>
          <w:lang w:eastAsia="nl-NL"/>
        </w:rPr>
      </w:pPr>
      <w:r w:rsidRPr="000B6C54">
        <w:rPr>
          <w:i/>
          <w:iCs/>
          <w:lang w:eastAsia="nl-NL"/>
        </w:rPr>
        <w:t xml:space="preserve">Odds ratio vs predictor for males </w:t>
      </w:r>
      <w:r w:rsidR="00872127" w:rsidRPr="000B6C54">
        <w:rPr>
          <w:i/>
          <w:iCs/>
          <w:lang w:eastAsia="nl-NL"/>
        </w:rPr>
        <w:t xml:space="preserve">ages </w:t>
      </w:r>
      <w:r w:rsidRPr="000B6C54">
        <w:rPr>
          <w:i/>
          <w:iCs/>
          <w:lang w:eastAsia="nl-NL"/>
        </w:rPr>
        <w:t>19-18</w:t>
      </w:r>
    </w:p>
    <w:p w14:paraId="44A254EB" w14:textId="77777777" w:rsidR="00381E6C" w:rsidRPr="00381E6C" w:rsidRDefault="00381E6C" w:rsidP="00764234">
      <w:pPr>
        <w:rPr>
          <w:lang w:eastAsia="nl-NL"/>
        </w:rPr>
      </w:pPr>
    </w:p>
    <w:p w14:paraId="38BBE9B4" w14:textId="32679C11" w:rsidR="005A56E9" w:rsidRDefault="00E22F8D" w:rsidP="00764234">
      <w:r>
        <w:rPr>
          <w:noProof/>
        </w:rPr>
        <w:drawing>
          <wp:inline distT="0" distB="0" distL="0" distR="0" wp14:anchorId="4BDB178F" wp14:editId="32F175F0">
            <wp:extent cx="5731510" cy="5731510"/>
            <wp:effectExtent l="0" t="0" r="2540" b="2540"/>
            <wp:docPr id="343667272"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67272" name="Picture 4" descr="A screenshot of a computer&#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2B88625F" w14:textId="138ACCD1" w:rsidR="00E50EE1" w:rsidRDefault="00E50EE1" w:rsidP="00764234"/>
    <w:p w14:paraId="5A0E67B1" w14:textId="7609F16E" w:rsidR="00883481" w:rsidRDefault="00AD499C" w:rsidP="00764234">
      <w:r>
        <w:t xml:space="preserve">Overall, the pattern of ORs is qualitatively similar between NCRBM and the replication data set. Predictors with a relatively large OR in NCBRM generally also received a relatively large OR in the replication. </w:t>
      </w:r>
      <w:r w:rsidR="005C70E9">
        <w:t xml:space="preserve">Indeed, a rank correlation between ORs </w:t>
      </w:r>
      <w:r w:rsidR="00154E63">
        <w:t>is relatively high</w:t>
      </w:r>
      <w:r w:rsidR="005C70E9">
        <w:t xml:space="preserve">, with the Spearman’s rho </w:t>
      </w:r>
      <w:r w:rsidR="005C70E9">
        <w:lastRenderedPageBreak/>
        <w:t>ranging from 0.8</w:t>
      </w:r>
      <w:r w:rsidR="00E85180">
        <w:t>2</w:t>
      </w:r>
      <w:r w:rsidR="005C70E9">
        <w:t xml:space="preserve"> to 0.9</w:t>
      </w:r>
      <w:r w:rsidR="00E85180">
        <w:t>3</w:t>
      </w:r>
      <w:r w:rsidR="005C70E9">
        <w:t xml:space="preserve">. </w:t>
      </w:r>
      <w:r w:rsidR="00883481">
        <w:t>As expected</w:t>
      </w:r>
      <w:r w:rsidR="00DF3D12" w:rsidRPr="00DF3D12">
        <w:t xml:space="preserve"> </w:t>
      </w:r>
      <w:r w:rsidR="00DF3D12">
        <w:t>and consistent with the results of NRCBM</w:t>
      </w:r>
      <w:r w:rsidR="00883481">
        <w:t xml:space="preserve">, anxiety, self-harm, loss of enjoyment, PTSD, OCD, and low mood are among largest predictors of depression. </w:t>
      </w:r>
    </w:p>
    <w:p w14:paraId="7FBB3E4F" w14:textId="24E81E2E" w:rsidR="00597998" w:rsidRDefault="00AD499C" w:rsidP="00764234">
      <w:r>
        <w:t xml:space="preserve">However, there are important quantitative differences with the replication data set in many cases producing much larger ORs. For example, the low mood predictor appears with a much higher ORs in the replication than in the original study. According to our results, a record of experiencing </w:t>
      </w:r>
      <w:r w:rsidR="00FB58CB">
        <w:t xml:space="preserve">depression makes the odds of </w:t>
      </w:r>
      <w:r w:rsidR="00FB58CB" w:rsidRPr="00FC1A10">
        <w:t xml:space="preserve">a </w:t>
      </w:r>
      <w:r w:rsidR="00FB58CB" w:rsidRPr="00154E63">
        <w:t xml:space="preserve">young person having depression </w:t>
      </w:r>
      <w:r w:rsidR="00145676" w:rsidRPr="00154E63">
        <w:t>over 40</w:t>
      </w:r>
      <w:r w:rsidR="00FB58CB" w:rsidRPr="00154E63">
        <w:t xml:space="preserve"> times higher</w:t>
      </w:r>
      <w:r w:rsidR="00145676" w:rsidRPr="00FC1A10">
        <w:t xml:space="preserve"> than a control if they are identified with low mood.</w:t>
      </w:r>
      <w:r w:rsidR="00FB58CB" w:rsidRPr="00FC1A10">
        <w:t xml:space="preserve"> </w:t>
      </w:r>
      <w:r w:rsidR="005C70E9" w:rsidRPr="00154E63">
        <w:t>The ORs obtained in the present study are also substantially higher for eating disorders.</w:t>
      </w:r>
      <w:r w:rsidR="005C70E9" w:rsidRPr="00FC1A10">
        <w:t xml:space="preserve"> For example</w:t>
      </w:r>
      <w:r w:rsidR="005C70E9">
        <w:t>, in the case of younger females (F 1</w:t>
      </w:r>
      <w:r w:rsidR="00145676">
        <w:t>9</w:t>
      </w:r>
      <w:r w:rsidR="005C70E9">
        <w:t>-</w:t>
      </w:r>
      <w:r w:rsidR="00145676">
        <w:t>24</w:t>
      </w:r>
      <w:r w:rsidR="005C70E9">
        <w:t xml:space="preserve">), the OR of </w:t>
      </w:r>
      <w:r w:rsidR="00145676">
        <w:t>8.91</w:t>
      </w:r>
      <w:r w:rsidR="005C70E9">
        <w:t xml:space="preserve"> indicates that patients with a diagnosis of eating disorders have </w:t>
      </w:r>
      <w:r w:rsidR="00145676">
        <w:t>8.91</w:t>
      </w:r>
      <w:r w:rsidR="005C70E9">
        <w:t xml:space="preserve"> odds of being diagnosed with depression</w:t>
      </w:r>
      <w:r w:rsidR="00145676">
        <w:t xml:space="preserve"> than a control</w:t>
      </w:r>
      <w:r w:rsidR="005C70E9">
        <w:t xml:space="preserve">. This is considerably higher than the results of NRCBM, where the odds are </w:t>
      </w:r>
      <w:r w:rsidR="00145676">
        <w:t>2.31</w:t>
      </w:r>
      <w:r w:rsidR="005C70E9">
        <w:t>.</w:t>
      </w:r>
      <w:r w:rsidR="00883481">
        <w:t xml:space="preserve"> Across all predictors, the differences are substantial.</w:t>
      </w:r>
      <w:r w:rsidR="00552CD6">
        <w:t xml:space="preserve"> The mean sizes of the coefficients in NRCBM are considerably lower than those of the replication </w:t>
      </w:r>
      <w:r w:rsidR="003D4C62" w:rsidRPr="003D4C62">
        <w:t>(F 15-18 NRCBM 2.42, Rep. 7.10; F 19-24 NRCBM 1.97, Rep. 6.62; M 15-18 NRCBM 4.45, Rep. 16.36; M 19-24 NRCBM 2.87, Rep. 6.56)</w:t>
      </w:r>
      <w:r w:rsidR="003D4C62">
        <w:t xml:space="preserve">. </w:t>
      </w:r>
      <w:r w:rsidR="005138A9">
        <w:t>In sum</w:t>
      </w:r>
      <w:r w:rsidR="003D4C62">
        <w:t>mary</w:t>
      </w:r>
      <w:r w:rsidR="005138A9">
        <w:t>, although the relative importance of the variables is similar between the datasets, magnitude differences of individual coefficients are large.</w:t>
      </w:r>
    </w:p>
    <w:p w14:paraId="4EE01FE7" w14:textId="582B67B3" w:rsidR="00AD499C" w:rsidRDefault="00597998" w:rsidP="00764234">
      <w:r>
        <w:t xml:space="preserve">We now turn to the overall predictive accuracy of the estimated models. From the comparison of the coefficients, one could expect that </w:t>
      </w:r>
      <w:proofErr w:type="gramStart"/>
      <w:r>
        <w:t>as long as</w:t>
      </w:r>
      <w:proofErr w:type="gramEnd"/>
      <w:r>
        <w:t xml:space="preserve"> the models pick up on the relevant variables, then the models should be able to predict depression accurately. The differences in magnitudes may therefore simply reflect changes in prevalence that occurred between the periods covered by the two datasets</w:t>
      </w:r>
      <w:r w:rsidR="00154E63">
        <w:t xml:space="preserve"> or other idiosyncratic aspects of the data</w:t>
      </w:r>
      <w:r>
        <w:t>.</w:t>
      </w:r>
      <w:r w:rsidR="00065AAE">
        <w:t xml:space="preserve"> Indeed, AUC-ROC curves reveal that the replica</w:t>
      </w:r>
      <w:r w:rsidR="0034389A">
        <w:t>tion models performed very well</w:t>
      </w:r>
      <w:r w:rsidR="007D1169">
        <w:t xml:space="preserve"> with the </w:t>
      </w:r>
      <w:r w:rsidR="00065AAE">
        <w:t xml:space="preserve">AUCs of </w:t>
      </w:r>
      <w:r w:rsidR="00065AAE" w:rsidRPr="005C06C2">
        <w:t>0.</w:t>
      </w:r>
      <w:r w:rsidR="00DC6BE5" w:rsidRPr="005C06C2">
        <w:t>8</w:t>
      </w:r>
      <w:r w:rsidR="00DC6BE5" w:rsidRPr="00393AEC">
        <w:rPr>
          <w:color w:val="0070C0"/>
        </w:rPr>
        <w:t xml:space="preserve">86 </w:t>
      </w:r>
      <w:r w:rsidR="00065AAE">
        <w:t xml:space="preserve">(F 15-18), </w:t>
      </w:r>
      <w:r w:rsidR="00065AAE" w:rsidRPr="005C06C2">
        <w:t>0.8</w:t>
      </w:r>
      <w:r w:rsidR="00065AAE" w:rsidRPr="00393AEC">
        <w:rPr>
          <w:color w:val="0070C0"/>
        </w:rPr>
        <w:t>8</w:t>
      </w:r>
      <w:r w:rsidR="00DC6BE5" w:rsidRPr="00393AEC">
        <w:rPr>
          <w:color w:val="0070C0"/>
        </w:rPr>
        <w:t>0</w:t>
      </w:r>
      <w:r w:rsidR="00065AAE" w:rsidRPr="00393AEC">
        <w:rPr>
          <w:color w:val="0070C0"/>
        </w:rPr>
        <w:t xml:space="preserve"> </w:t>
      </w:r>
      <w:r w:rsidR="00065AAE">
        <w:t>(F 19-24), 0.8</w:t>
      </w:r>
      <w:r w:rsidR="00EB171A" w:rsidRPr="005C06C2">
        <w:t>8</w:t>
      </w:r>
      <w:r w:rsidR="00DC6BE5" w:rsidRPr="00393AEC">
        <w:rPr>
          <w:color w:val="0070C0"/>
        </w:rPr>
        <w:t>2</w:t>
      </w:r>
      <w:r w:rsidR="00065AAE">
        <w:t xml:space="preserve"> (M 15-18), and 0.8</w:t>
      </w:r>
      <w:r w:rsidR="00DC6BE5" w:rsidRPr="005C06C2">
        <w:t>8</w:t>
      </w:r>
      <w:r w:rsidR="00DC6BE5" w:rsidRPr="00393AEC">
        <w:rPr>
          <w:color w:val="0070C0"/>
        </w:rPr>
        <w:t>7</w:t>
      </w:r>
      <w:r w:rsidR="00065AAE">
        <w:t xml:space="preserve"> (M 19-24). </w:t>
      </w:r>
      <w:r w:rsidR="00B41C65">
        <w:t>Interestingly, these performances are higher than those obtained by NRCBM, who reported AUCs of 0.719 (F 15-18), 0.</w:t>
      </w:r>
      <w:r w:rsidR="009A73AF">
        <w:t>69</w:t>
      </w:r>
      <w:r w:rsidR="009A73AF" w:rsidRPr="00393AEC">
        <w:rPr>
          <w:color w:val="5B9BD5" w:themeColor="accent1"/>
        </w:rPr>
        <w:t>9</w:t>
      </w:r>
      <w:r w:rsidR="00B41C65">
        <w:t xml:space="preserve"> (F 19-24), 0.714 (M 15-18), and 0.7</w:t>
      </w:r>
      <w:r w:rsidR="009A73AF">
        <w:t>1</w:t>
      </w:r>
      <w:r w:rsidR="009A73AF" w:rsidRPr="00393AEC">
        <w:rPr>
          <w:color w:val="5B9BD5" w:themeColor="accent1"/>
        </w:rPr>
        <w:t>6</w:t>
      </w:r>
      <w:r w:rsidR="00B41C65">
        <w:t xml:space="preserve"> (M 19-24). </w:t>
      </w:r>
      <w:r w:rsidR="00A87D88">
        <w:t>We return to these somewhat surprising results in the General Discussion.</w:t>
      </w:r>
    </w:p>
    <w:p w14:paraId="70275B7F" w14:textId="03B31097" w:rsidR="0034389A" w:rsidRDefault="0034389A" w:rsidP="00764234">
      <w:r>
        <w:lastRenderedPageBreak/>
        <w:t>Following analysis of NRCBM, we have also performed a sensitivity analysis, by removing depression specific predictors (</w:t>
      </w:r>
      <w:r w:rsidR="005F5BBE" w:rsidRPr="005F5BBE">
        <w:t>anxiety, bereavement, low mood, self-harm, OCD</w:t>
      </w:r>
      <w:r w:rsidR="00C0788E">
        <w:t xml:space="preserve"> and</w:t>
      </w:r>
      <w:r w:rsidR="005F5BBE" w:rsidRPr="005F5BBE">
        <w:t xml:space="preserve"> </w:t>
      </w:r>
      <w:r w:rsidR="00C0788E">
        <w:t>PTSD</w:t>
      </w:r>
      <w:r>
        <w:t>) and re-estimating our models. In summary, we found a small reduction of AUCs across the board (</w:t>
      </w:r>
      <w:r w:rsidR="004E0767">
        <w:t>F 15-18 = 0.0</w:t>
      </w:r>
      <w:r w:rsidR="00AB7334">
        <w:t>6</w:t>
      </w:r>
      <w:r w:rsidR="00784444" w:rsidRPr="00393AEC">
        <w:rPr>
          <w:color w:val="5B9BD5" w:themeColor="accent1"/>
        </w:rPr>
        <w:t>7</w:t>
      </w:r>
      <w:r w:rsidR="004E0767">
        <w:t>, F 19-24</w:t>
      </w:r>
      <w:r w:rsidR="00952171">
        <w:t xml:space="preserve"> </w:t>
      </w:r>
      <w:r w:rsidR="004E0767">
        <w:t>= 0.0</w:t>
      </w:r>
      <w:r w:rsidR="00784444" w:rsidRPr="00393AEC">
        <w:rPr>
          <w:color w:val="5B9BD5" w:themeColor="accent1"/>
        </w:rPr>
        <w:t>39</w:t>
      </w:r>
      <w:r w:rsidR="004E0767">
        <w:t>, M 15-18 = 0.0</w:t>
      </w:r>
      <w:r w:rsidR="00AB7334">
        <w:t>6</w:t>
      </w:r>
      <w:r w:rsidR="00784444">
        <w:t>7</w:t>
      </w:r>
      <w:r w:rsidR="004E0767">
        <w:t>, M 19-24 = 0.0</w:t>
      </w:r>
      <w:r w:rsidR="00784444" w:rsidRPr="00393AEC">
        <w:rPr>
          <w:color w:val="5B9BD5" w:themeColor="accent1"/>
        </w:rPr>
        <w:t>38</w:t>
      </w:r>
      <w:r w:rsidR="004E0767">
        <w:t>)</w:t>
      </w:r>
      <w:r>
        <w:t xml:space="preserve">, which appears in line with NRCBM, who claimed that the analysis </w:t>
      </w:r>
      <w:r w:rsidRPr="0034389A">
        <w:t>“resulted in only minor differences in the variables included and estimates of effect.”</w:t>
      </w:r>
    </w:p>
    <w:p w14:paraId="18C30208" w14:textId="16C62205" w:rsidR="00552CD6" w:rsidRPr="000B6C54" w:rsidRDefault="00A560B2" w:rsidP="000B6C54">
      <w:r w:rsidRPr="000B6C54">
        <w:t xml:space="preserve">Finally, we evaluated out of sample prediction of the models estimated by NRCBM on our own data. Using their estimated coefficients </w:t>
      </w:r>
      <w:r w:rsidR="007D1169" w:rsidRPr="000B6C54">
        <w:t xml:space="preserve">to make predictions </w:t>
      </w:r>
      <w:r w:rsidRPr="000B6C54">
        <w:t>for each group</w:t>
      </w:r>
      <w:r w:rsidR="007D1169" w:rsidRPr="000B6C54">
        <w:t xml:space="preserve"> in our data</w:t>
      </w:r>
      <w:r w:rsidRPr="000B6C54">
        <w:t>, we find very high AUC scores 0.</w:t>
      </w:r>
      <w:r w:rsidR="00FE4BD9" w:rsidRPr="000B6C54">
        <w:t>87</w:t>
      </w:r>
      <w:r w:rsidR="0011102D" w:rsidRPr="00393AEC">
        <w:rPr>
          <w:color w:val="5B9BD5" w:themeColor="accent1"/>
        </w:rPr>
        <w:t>0</w:t>
      </w:r>
      <w:r w:rsidRPr="000B6C54">
        <w:t xml:space="preserve"> (F 15-18), 0.</w:t>
      </w:r>
      <w:r w:rsidR="00FE4BD9" w:rsidRPr="000B6C54">
        <w:t>86</w:t>
      </w:r>
      <w:r w:rsidR="0011102D" w:rsidRPr="00393AEC">
        <w:rPr>
          <w:color w:val="5B9BD5" w:themeColor="accent1"/>
        </w:rPr>
        <w:t>0</w:t>
      </w:r>
      <w:r w:rsidRPr="000B6C54">
        <w:t xml:space="preserve"> (F 19-24), 0.</w:t>
      </w:r>
      <w:r w:rsidR="00FE4BD9" w:rsidRPr="000B6C54">
        <w:t>8</w:t>
      </w:r>
      <w:r w:rsidR="0011102D" w:rsidRPr="00393AEC">
        <w:rPr>
          <w:color w:val="5B9BD5" w:themeColor="accent1"/>
        </w:rPr>
        <w:t>45</w:t>
      </w:r>
      <w:r w:rsidRPr="00393AEC">
        <w:rPr>
          <w:color w:val="5B9BD5" w:themeColor="accent1"/>
        </w:rPr>
        <w:t xml:space="preserve"> </w:t>
      </w:r>
      <w:r w:rsidRPr="000B6C54">
        <w:t>(M 15-18), and 0.</w:t>
      </w:r>
      <w:r w:rsidR="00FE4BD9" w:rsidRPr="000B6C54">
        <w:t>8</w:t>
      </w:r>
      <w:r w:rsidR="0011102D" w:rsidRPr="00393AEC">
        <w:rPr>
          <w:color w:val="5B9BD5" w:themeColor="accent1"/>
        </w:rPr>
        <w:t>47</w:t>
      </w:r>
      <w:r w:rsidRPr="000B6C54">
        <w:t xml:space="preserve"> (M 19-24). It therefore appears that the model trained by NRCBM performs better on the newer dataset than it did on the slice of the test data from the same period when the model was trained</w:t>
      </w:r>
      <w:r w:rsidR="00552CD6" w:rsidRPr="000B6C54">
        <w:t xml:space="preserve">. This result further suggests that the exact magnitudes of the ORs are indeed not as relevant </w:t>
      </w:r>
      <w:proofErr w:type="gramStart"/>
      <w:r w:rsidR="00552CD6" w:rsidRPr="000B6C54">
        <w:t>as long as</w:t>
      </w:r>
      <w:proofErr w:type="gramEnd"/>
      <w:r w:rsidR="00552CD6" w:rsidRPr="000B6C54">
        <w:t xml:space="preserve"> the relevant predictors are </w:t>
      </w:r>
      <w:r w:rsidR="007D74F5" w:rsidRPr="000B6C54">
        <w:t>selected,</w:t>
      </w:r>
      <w:r w:rsidR="00552CD6" w:rsidRPr="000B6C54">
        <w:t xml:space="preserve"> and the magnitudes are in the correct ballpark.</w:t>
      </w:r>
    </w:p>
    <w:p w14:paraId="15506139" w14:textId="169CD427" w:rsidR="00A560B2" w:rsidRDefault="00A560B2" w:rsidP="00764234">
      <w:pPr>
        <w:pStyle w:val="Heading2"/>
      </w:pPr>
      <w:r>
        <w:t>Alternative Models</w:t>
      </w:r>
    </w:p>
    <w:p w14:paraId="1983993D" w14:textId="5DF3518F" w:rsidR="00A560B2" w:rsidRPr="00F86176" w:rsidRDefault="00F86176" w:rsidP="00764234">
      <w:pPr>
        <w:rPr>
          <w:rFonts w:cstheme="minorHAnsi"/>
        </w:rPr>
      </w:pPr>
      <w:r w:rsidRPr="007E65DF">
        <w:t>We tested six alternatives to the backward stepwise regression on our data:</w:t>
      </w:r>
      <w:r w:rsidR="00B07491">
        <w:t xml:space="preserve"> </w:t>
      </w:r>
      <w:r w:rsidR="00B07491" w:rsidRPr="0091599C">
        <w:rPr>
          <w:rFonts w:ascii="Calibri" w:hAnsi="Calibri" w:cs="Calibri"/>
        </w:rPr>
        <w:t>Least Absolute Shrinkage Selection Operator</w:t>
      </w:r>
      <w:r w:rsidRPr="007E65DF">
        <w:t xml:space="preserve"> </w:t>
      </w:r>
      <w:r w:rsidR="00B07491">
        <w:t>(</w:t>
      </w:r>
      <w:r w:rsidRPr="007E65DF">
        <w:t>LASSO</w:t>
      </w:r>
      <w:r w:rsidR="00B07491">
        <w:t>)</w:t>
      </w:r>
      <w:r w:rsidRPr="007E65DF">
        <w:t>, Random Forrest</w:t>
      </w:r>
      <w:r w:rsidR="00B07491">
        <w:t xml:space="preserve"> (RF)</w:t>
      </w:r>
      <w:r w:rsidRPr="007E65DF">
        <w:t>, Gradient Boosting</w:t>
      </w:r>
      <w:r w:rsidR="00B97D9E">
        <w:t xml:space="preserve"> (GB)</w:t>
      </w:r>
      <w:r w:rsidRPr="007E65DF">
        <w:t xml:space="preserve">, </w:t>
      </w:r>
      <w:proofErr w:type="spellStart"/>
      <w:r w:rsidRPr="007E65DF">
        <w:t>XGBoost</w:t>
      </w:r>
      <w:proofErr w:type="spellEnd"/>
      <w:r w:rsidR="00B97D9E">
        <w:t xml:space="preserve"> (XGB)</w:t>
      </w:r>
      <w:r w:rsidRPr="007E65DF">
        <w:t xml:space="preserve">, </w:t>
      </w:r>
      <w:proofErr w:type="spellStart"/>
      <w:r w:rsidRPr="007E65DF">
        <w:t>Rpart</w:t>
      </w:r>
      <w:proofErr w:type="spellEnd"/>
      <w:r w:rsidRPr="007E65DF">
        <w:t xml:space="preserve">, and </w:t>
      </w:r>
      <w:r w:rsidR="00B07491">
        <w:t>Prediction Rules Ensembles (</w:t>
      </w:r>
      <w:r w:rsidRPr="007E65DF">
        <w:t>PRE</w:t>
      </w:r>
      <w:r w:rsidR="00B07491">
        <w:t>)</w:t>
      </w:r>
      <w:r w:rsidRPr="007E65DF">
        <w:t xml:space="preserve">.  Models were trained and evaluated in </w:t>
      </w:r>
      <w:proofErr w:type="gramStart"/>
      <w:r w:rsidRPr="007E65DF">
        <w:t>exactly the same</w:t>
      </w:r>
      <w:proofErr w:type="gramEnd"/>
      <w:r w:rsidRPr="007E65DF">
        <w:t xml:space="preserve"> way as the logistic regressions reported earlier</w:t>
      </w:r>
      <w:r w:rsidR="007C5381" w:rsidRPr="007E65DF">
        <w:t>, obtaining AUCs scores via</w:t>
      </w:r>
      <w:r w:rsidRPr="007E65DF">
        <w:t xml:space="preserve"> cross-validation.</w:t>
      </w:r>
      <w:r>
        <w:t xml:space="preserve"> Table </w:t>
      </w:r>
      <w:r w:rsidR="00183B83">
        <w:t>3</w:t>
      </w:r>
      <w:r>
        <w:t xml:space="preserve"> summarizes these results for each group. </w:t>
      </w:r>
    </w:p>
    <w:p w14:paraId="2A107006" w14:textId="6E1497EA" w:rsidR="001C5C40" w:rsidRPr="009058D5" w:rsidRDefault="001C5C40" w:rsidP="000B6C54">
      <w:pPr>
        <w:pStyle w:val="Caption"/>
        <w:ind w:firstLine="0"/>
        <w:rPr>
          <w:rFonts w:asciiTheme="minorHAnsi" w:hAnsiTheme="minorHAnsi" w:cstheme="minorHAnsi"/>
          <w:b/>
          <w:bCs/>
          <w:i w:val="0"/>
          <w:iCs w:val="0"/>
          <w:color w:val="auto"/>
          <w:sz w:val="22"/>
          <w:szCs w:val="22"/>
        </w:rPr>
      </w:pPr>
      <w:bookmarkStart w:id="5" w:name="_Toc98322100"/>
      <w:bookmarkStart w:id="6" w:name="_Toc115959756"/>
      <w:r w:rsidRPr="009058D5">
        <w:rPr>
          <w:rFonts w:asciiTheme="minorHAnsi" w:hAnsiTheme="minorHAnsi" w:cstheme="minorHAnsi"/>
          <w:b/>
          <w:bCs/>
          <w:i w:val="0"/>
          <w:iCs w:val="0"/>
          <w:color w:val="auto"/>
          <w:sz w:val="22"/>
          <w:szCs w:val="22"/>
        </w:rPr>
        <w:t xml:space="preserve">Table </w:t>
      </w:r>
      <w:r w:rsidRPr="009058D5">
        <w:rPr>
          <w:rFonts w:asciiTheme="minorHAnsi" w:hAnsiTheme="minorHAnsi" w:cstheme="minorHAnsi"/>
          <w:b/>
          <w:bCs/>
          <w:i w:val="0"/>
          <w:iCs w:val="0"/>
          <w:color w:val="auto"/>
          <w:sz w:val="22"/>
          <w:szCs w:val="22"/>
        </w:rPr>
        <w:fldChar w:fldCharType="begin"/>
      </w:r>
      <w:r w:rsidRPr="009058D5">
        <w:rPr>
          <w:rFonts w:asciiTheme="minorHAnsi" w:hAnsiTheme="minorHAnsi" w:cstheme="minorHAnsi"/>
          <w:b/>
          <w:bCs/>
          <w:i w:val="0"/>
          <w:iCs w:val="0"/>
          <w:color w:val="auto"/>
          <w:sz w:val="22"/>
          <w:szCs w:val="22"/>
        </w:rPr>
        <w:instrText xml:space="preserve"> SEQ Table \* ARABIC </w:instrText>
      </w:r>
      <w:r w:rsidRPr="009058D5">
        <w:rPr>
          <w:rFonts w:asciiTheme="minorHAnsi" w:hAnsiTheme="minorHAnsi" w:cstheme="minorHAnsi"/>
          <w:b/>
          <w:bCs/>
          <w:i w:val="0"/>
          <w:iCs w:val="0"/>
          <w:color w:val="auto"/>
          <w:sz w:val="22"/>
          <w:szCs w:val="22"/>
        </w:rPr>
        <w:fldChar w:fldCharType="separate"/>
      </w:r>
      <w:r w:rsidR="00284D08" w:rsidRPr="009058D5">
        <w:rPr>
          <w:rFonts w:asciiTheme="minorHAnsi" w:hAnsiTheme="minorHAnsi" w:cstheme="minorHAnsi"/>
          <w:b/>
          <w:bCs/>
          <w:i w:val="0"/>
          <w:iCs w:val="0"/>
          <w:noProof/>
          <w:color w:val="auto"/>
          <w:sz w:val="22"/>
          <w:szCs w:val="22"/>
        </w:rPr>
        <w:t>3</w:t>
      </w:r>
      <w:r w:rsidRPr="009058D5">
        <w:rPr>
          <w:rFonts w:asciiTheme="minorHAnsi" w:hAnsiTheme="minorHAnsi" w:cstheme="minorHAnsi"/>
          <w:b/>
          <w:bCs/>
          <w:i w:val="0"/>
          <w:iCs w:val="0"/>
          <w:color w:val="auto"/>
          <w:sz w:val="22"/>
          <w:szCs w:val="22"/>
        </w:rPr>
        <w:fldChar w:fldCharType="end"/>
      </w:r>
    </w:p>
    <w:p w14:paraId="087A5B17" w14:textId="77777777" w:rsidR="00F86176" w:rsidRPr="000B6C54" w:rsidRDefault="00F86176" w:rsidP="00764234">
      <w:pPr>
        <w:rPr>
          <w:i/>
          <w:iCs/>
        </w:rPr>
      </w:pPr>
      <w:r w:rsidRPr="000B6C54">
        <w:rPr>
          <w:i/>
          <w:iCs/>
        </w:rPr>
        <w:t>Alternate model performance on replication data test set for M/F by 15-18/19-24 subsets.</w:t>
      </w:r>
      <w:bookmarkEnd w:id="5"/>
      <w:bookmarkEnd w:id="6"/>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850"/>
        <w:gridCol w:w="893"/>
        <w:gridCol w:w="951"/>
        <w:gridCol w:w="992"/>
        <w:gridCol w:w="850"/>
        <w:gridCol w:w="1418"/>
      </w:tblGrid>
      <w:tr w:rsidR="00CA1B40" w:rsidRPr="000B6C54" w14:paraId="1298AE11" w14:textId="77777777" w:rsidTr="00B97D9E">
        <w:tc>
          <w:tcPr>
            <w:tcW w:w="1134" w:type="dxa"/>
            <w:tcBorders>
              <w:bottom w:val="single" w:sz="4" w:space="0" w:color="auto"/>
            </w:tcBorders>
          </w:tcPr>
          <w:p w14:paraId="590544DD"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Model Set</w:t>
            </w:r>
          </w:p>
        </w:tc>
        <w:tc>
          <w:tcPr>
            <w:tcW w:w="1134" w:type="dxa"/>
            <w:tcBorders>
              <w:bottom w:val="single" w:sz="4" w:space="0" w:color="auto"/>
            </w:tcBorders>
          </w:tcPr>
          <w:p w14:paraId="3A2FC560"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LASSO</w:t>
            </w:r>
          </w:p>
        </w:tc>
        <w:tc>
          <w:tcPr>
            <w:tcW w:w="850" w:type="dxa"/>
            <w:tcBorders>
              <w:bottom w:val="single" w:sz="4" w:space="0" w:color="auto"/>
            </w:tcBorders>
          </w:tcPr>
          <w:p w14:paraId="55B3CDB7"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RF</w:t>
            </w:r>
          </w:p>
        </w:tc>
        <w:tc>
          <w:tcPr>
            <w:tcW w:w="893" w:type="dxa"/>
            <w:tcBorders>
              <w:bottom w:val="single" w:sz="4" w:space="0" w:color="auto"/>
            </w:tcBorders>
          </w:tcPr>
          <w:p w14:paraId="6DE7B726"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GB</w:t>
            </w:r>
          </w:p>
        </w:tc>
        <w:tc>
          <w:tcPr>
            <w:tcW w:w="951" w:type="dxa"/>
            <w:tcBorders>
              <w:bottom w:val="single" w:sz="4" w:space="0" w:color="auto"/>
            </w:tcBorders>
          </w:tcPr>
          <w:p w14:paraId="6D6A2C8E" w14:textId="304F5D4E"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XGB</w:t>
            </w:r>
          </w:p>
        </w:tc>
        <w:tc>
          <w:tcPr>
            <w:tcW w:w="992" w:type="dxa"/>
            <w:tcBorders>
              <w:bottom w:val="single" w:sz="4" w:space="0" w:color="auto"/>
            </w:tcBorders>
          </w:tcPr>
          <w:p w14:paraId="1D3C3840" w14:textId="77777777" w:rsidR="00CA1B40" w:rsidRPr="000B6C54" w:rsidRDefault="00CA1B40" w:rsidP="000B6C54">
            <w:pPr>
              <w:spacing w:line="240" w:lineRule="auto"/>
              <w:ind w:firstLine="0"/>
              <w:rPr>
                <w:rFonts w:ascii="Calibri" w:hAnsi="Calibri" w:cs="Calibri"/>
                <w:sz w:val="22"/>
                <w:szCs w:val="22"/>
              </w:rPr>
            </w:pPr>
            <w:proofErr w:type="spellStart"/>
            <w:r w:rsidRPr="000B6C54">
              <w:rPr>
                <w:rFonts w:ascii="Calibri" w:hAnsi="Calibri" w:cs="Calibri"/>
                <w:sz w:val="22"/>
                <w:szCs w:val="22"/>
              </w:rPr>
              <w:t>Rpart</w:t>
            </w:r>
            <w:proofErr w:type="spellEnd"/>
          </w:p>
        </w:tc>
        <w:tc>
          <w:tcPr>
            <w:tcW w:w="850" w:type="dxa"/>
            <w:tcBorders>
              <w:bottom w:val="single" w:sz="4" w:space="0" w:color="auto"/>
            </w:tcBorders>
          </w:tcPr>
          <w:p w14:paraId="2A46C20C"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PRE</w:t>
            </w:r>
          </w:p>
        </w:tc>
        <w:tc>
          <w:tcPr>
            <w:tcW w:w="1418" w:type="dxa"/>
            <w:tcBorders>
              <w:bottom w:val="single" w:sz="4" w:space="0" w:color="auto"/>
            </w:tcBorders>
          </w:tcPr>
          <w:p w14:paraId="778F152E" w14:textId="790F0A28" w:rsidR="00CA1B40" w:rsidRPr="000B6C54" w:rsidRDefault="00C35DB8" w:rsidP="000B6C54">
            <w:pPr>
              <w:spacing w:line="240" w:lineRule="auto"/>
              <w:ind w:firstLine="0"/>
              <w:rPr>
                <w:rFonts w:ascii="Calibri" w:hAnsi="Calibri" w:cs="Calibri"/>
                <w:sz w:val="22"/>
                <w:szCs w:val="22"/>
              </w:rPr>
            </w:pPr>
            <w:r w:rsidRPr="00393AEC">
              <w:rPr>
                <w:rFonts w:ascii="Calibri" w:hAnsi="Calibri" w:cs="Calibri"/>
                <w:color w:val="5B9BD5" w:themeColor="accent1"/>
                <w:sz w:val="22"/>
                <w:szCs w:val="22"/>
              </w:rPr>
              <w:t>Stepwise</w:t>
            </w:r>
            <w:r>
              <w:rPr>
                <w:rFonts w:ascii="Calibri" w:hAnsi="Calibri" w:cs="Calibri"/>
                <w:sz w:val="22"/>
                <w:szCs w:val="22"/>
              </w:rPr>
              <w:t xml:space="preserve"> Replication</w:t>
            </w:r>
          </w:p>
        </w:tc>
      </w:tr>
      <w:tr w:rsidR="00CA1B40" w:rsidRPr="000B6C54" w14:paraId="4C26096B" w14:textId="77777777" w:rsidTr="00B97D9E">
        <w:tc>
          <w:tcPr>
            <w:tcW w:w="1134" w:type="dxa"/>
            <w:tcBorders>
              <w:top w:val="single" w:sz="4" w:space="0" w:color="auto"/>
            </w:tcBorders>
          </w:tcPr>
          <w:p w14:paraId="065A86AA" w14:textId="77777777" w:rsidR="00CA1B40" w:rsidRPr="000B6C54" w:rsidRDefault="00CA1B40" w:rsidP="000B6C54">
            <w:pPr>
              <w:spacing w:line="240" w:lineRule="auto"/>
              <w:ind w:firstLine="0"/>
              <w:rPr>
                <w:rFonts w:ascii="Calibri" w:hAnsi="Calibri" w:cs="Calibri"/>
                <w:sz w:val="22"/>
                <w:szCs w:val="22"/>
              </w:rPr>
            </w:pPr>
          </w:p>
          <w:p w14:paraId="59ECDBFB"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 xml:space="preserve">F 15-18 </w:t>
            </w:r>
          </w:p>
        </w:tc>
        <w:tc>
          <w:tcPr>
            <w:tcW w:w="1134" w:type="dxa"/>
            <w:tcBorders>
              <w:top w:val="single" w:sz="4" w:space="0" w:color="auto"/>
            </w:tcBorders>
          </w:tcPr>
          <w:p w14:paraId="6EC01D2C" w14:textId="77777777" w:rsidR="00CA1B40" w:rsidRPr="000B6C54" w:rsidRDefault="00CA1B40" w:rsidP="000B6C54">
            <w:pPr>
              <w:spacing w:line="240" w:lineRule="auto"/>
              <w:ind w:firstLine="0"/>
              <w:rPr>
                <w:rFonts w:ascii="Calibri" w:hAnsi="Calibri" w:cs="Calibri"/>
                <w:sz w:val="22"/>
                <w:szCs w:val="22"/>
              </w:rPr>
            </w:pPr>
          </w:p>
          <w:p w14:paraId="5B2C1DE3" w14:textId="5B40EF0C"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5B9BD5" w:themeColor="accent1"/>
                <w:sz w:val="22"/>
                <w:szCs w:val="22"/>
              </w:rPr>
              <w:t>7</w:t>
            </w:r>
          </w:p>
        </w:tc>
        <w:tc>
          <w:tcPr>
            <w:tcW w:w="850" w:type="dxa"/>
            <w:tcBorders>
              <w:top w:val="single" w:sz="4" w:space="0" w:color="auto"/>
            </w:tcBorders>
          </w:tcPr>
          <w:p w14:paraId="468385E0" w14:textId="77777777" w:rsidR="00CA1B40" w:rsidRPr="000B6C54" w:rsidRDefault="00CA1B40" w:rsidP="000B6C54">
            <w:pPr>
              <w:spacing w:line="240" w:lineRule="auto"/>
              <w:ind w:firstLine="0"/>
              <w:rPr>
                <w:rFonts w:ascii="Calibri" w:hAnsi="Calibri" w:cs="Calibri"/>
                <w:sz w:val="22"/>
                <w:szCs w:val="22"/>
              </w:rPr>
            </w:pPr>
          </w:p>
          <w:p w14:paraId="3EB3B83E"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0.882</w:t>
            </w:r>
          </w:p>
        </w:tc>
        <w:tc>
          <w:tcPr>
            <w:tcW w:w="893" w:type="dxa"/>
            <w:tcBorders>
              <w:top w:val="single" w:sz="4" w:space="0" w:color="auto"/>
            </w:tcBorders>
          </w:tcPr>
          <w:p w14:paraId="0FB00283" w14:textId="77777777" w:rsidR="00CA1B40" w:rsidRPr="008B35C0" w:rsidRDefault="00CA1B40" w:rsidP="000B6C54">
            <w:pPr>
              <w:spacing w:line="240" w:lineRule="auto"/>
              <w:ind w:firstLine="0"/>
              <w:rPr>
                <w:rFonts w:ascii="Calibri" w:hAnsi="Calibri" w:cs="Calibri"/>
                <w:sz w:val="22"/>
                <w:szCs w:val="22"/>
              </w:rPr>
            </w:pPr>
          </w:p>
          <w:p w14:paraId="6E5D02DA" w14:textId="3802AD9D" w:rsidR="00CA1B40" w:rsidRPr="00393AEC" w:rsidRDefault="00CA1B40" w:rsidP="000B6C54">
            <w:pPr>
              <w:spacing w:line="240" w:lineRule="auto"/>
              <w:ind w:firstLine="0"/>
              <w:rPr>
                <w:rFonts w:ascii="Calibri" w:hAnsi="Calibri" w:cs="Calibri"/>
                <w:b/>
                <w:bCs/>
                <w:sz w:val="22"/>
                <w:szCs w:val="22"/>
              </w:rPr>
            </w:pPr>
            <w:r w:rsidRPr="00393AEC">
              <w:rPr>
                <w:rFonts w:ascii="Calibri" w:hAnsi="Calibri" w:cs="Calibri"/>
                <w:b/>
                <w:bCs/>
                <w:sz w:val="22"/>
                <w:szCs w:val="22"/>
              </w:rPr>
              <w:t>0.8</w:t>
            </w:r>
            <w:r w:rsidR="004678A6" w:rsidRPr="00393AEC">
              <w:rPr>
                <w:rFonts w:ascii="Calibri" w:hAnsi="Calibri" w:cs="Calibri"/>
                <w:b/>
                <w:bCs/>
                <w:color w:val="0070C0"/>
                <w:sz w:val="22"/>
                <w:szCs w:val="22"/>
              </w:rPr>
              <w:t>91</w:t>
            </w:r>
          </w:p>
        </w:tc>
        <w:tc>
          <w:tcPr>
            <w:tcW w:w="951" w:type="dxa"/>
            <w:tcBorders>
              <w:top w:val="single" w:sz="4" w:space="0" w:color="auto"/>
            </w:tcBorders>
          </w:tcPr>
          <w:p w14:paraId="014345EF" w14:textId="77777777" w:rsidR="00CA1B40" w:rsidRPr="000B6C54" w:rsidRDefault="00CA1B40" w:rsidP="000B6C54">
            <w:pPr>
              <w:spacing w:line="240" w:lineRule="auto"/>
              <w:ind w:firstLine="0"/>
              <w:rPr>
                <w:rFonts w:ascii="Calibri" w:hAnsi="Calibri" w:cs="Calibri"/>
                <w:sz w:val="22"/>
                <w:szCs w:val="22"/>
              </w:rPr>
            </w:pPr>
          </w:p>
          <w:p w14:paraId="0CDE821F" w14:textId="3072E3C8" w:rsidR="00CA1B40" w:rsidRPr="00393AEC" w:rsidRDefault="00CA1B40" w:rsidP="000B6C54">
            <w:pPr>
              <w:spacing w:line="240" w:lineRule="auto"/>
              <w:ind w:firstLine="0"/>
              <w:rPr>
                <w:rFonts w:ascii="Calibri" w:hAnsi="Calibri" w:cs="Calibri"/>
                <w:sz w:val="22"/>
                <w:szCs w:val="22"/>
              </w:rPr>
            </w:pPr>
            <w:r w:rsidRPr="00393AEC">
              <w:rPr>
                <w:rFonts w:ascii="Calibri" w:hAnsi="Calibri" w:cs="Calibri"/>
                <w:sz w:val="22"/>
                <w:szCs w:val="22"/>
              </w:rPr>
              <w:t>0.88</w:t>
            </w:r>
            <w:r w:rsidR="004678A6" w:rsidRPr="00393AEC">
              <w:rPr>
                <w:rFonts w:ascii="Calibri" w:hAnsi="Calibri" w:cs="Calibri"/>
                <w:color w:val="0070C0"/>
                <w:sz w:val="22"/>
                <w:szCs w:val="22"/>
              </w:rPr>
              <w:t>5</w:t>
            </w:r>
          </w:p>
        </w:tc>
        <w:tc>
          <w:tcPr>
            <w:tcW w:w="992" w:type="dxa"/>
            <w:tcBorders>
              <w:top w:val="single" w:sz="4" w:space="0" w:color="auto"/>
            </w:tcBorders>
          </w:tcPr>
          <w:p w14:paraId="4F329DC1" w14:textId="77777777" w:rsidR="00CA1B40" w:rsidRPr="000B6C54" w:rsidRDefault="00CA1B40" w:rsidP="000B6C54">
            <w:pPr>
              <w:spacing w:line="240" w:lineRule="auto"/>
              <w:ind w:firstLine="0"/>
              <w:rPr>
                <w:rFonts w:ascii="Calibri" w:hAnsi="Calibri" w:cs="Calibri"/>
                <w:sz w:val="22"/>
                <w:szCs w:val="22"/>
              </w:rPr>
            </w:pPr>
          </w:p>
          <w:p w14:paraId="63DAC6D2" w14:textId="5D58A146"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0.83</w:t>
            </w:r>
            <w:r w:rsidR="004678A6" w:rsidRPr="00393AEC">
              <w:rPr>
                <w:rFonts w:ascii="Calibri" w:hAnsi="Calibri" w:cs="Calibri"/>
                <w:color w:val="0070C0"/>
                <w:sz w:val="22"/>
                <w:szCs w:val="22"/>
              </w:rPr>
              <w:t>8</w:t>
            </w:r>
          </w:p>
        </w:tc>
        <w:tc>
          <w:tcPr>
            <w:tcW w:w="850" w:type="dxa"/>
            <w:tcBorders>
              <w:top w:val="single" w:sz="4" w:space="0" w:color="auto"/>
            </w:tcBorders>
          </w:tcPr>
          <w:p w14:paraId="5B0A5661" w14:textId="77777777" w:rsidR="00CA1B40" w:rsidRPr="000B6C54" w:rsidRDefault="00CA1B40" w:rsidP="000B6C54">
            <w:pPr>
              <w:spacing w:line="240" w:lineRule="auto"/>
              <w:ind w:firstLine="0"/>
              <w:rPr>
                <w:rFonts w:ascii="Calibri" w:hAnsi="Calibri" w:cs="Calibri"/>
                <w:sz w:val="22"/>
                <w:szCs w:val="22"/>
              </w:rPr>
            </w:pPr>
          </w:p>
          <w:p w14:paraId="36A0BD40" w14:textId="5DFD2F74"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w:t>
            </w:r>
            <w:r w:rsidR="004678A6" w:rsidRPr="00393AEC">
              <w:rPr>
                <w:rFonts w:ascii="Calibri" w:hAnsi="Calibri" w:cs="Calibri"/>
                <w:color w:val="0070C0"/>
                <w:sz w:val="22"/>
                <w:szCs w:val="22"/>
              </w:rPr>
              <w:t>90</w:t>
            </w:r>
          </w:p>
        </w:tc>
        <w:tc>
          <w:tcPr>
            <w:tcW w:w="1418" w:type="dxa"/>
            <w:tcBorders>
              <w:top w:val="single" w:sz="4" w:space="0" w:color="auto"/>
            </w:tcBorders>
          </w:tcPr>
          <w:p w14:paraId="4F891D4F" w14:textId="77777777" w:rsidR="00CA1B40" w:rsidRPr="000B6C54" w:rsidRDefault="00CA1B40" w:rsidP="000B6C54">
            <w:pPr>
              <w:spacing w:line="240" w:lineRule="auto"/>
              <w:ind w:firstLine="0"/>
              <w:rPr>
                <w:rFonts w:ascii="Calibri" w:hAnsi="Calibri" w:cs="Calibri"/>
                <w:sz w:val="22"/>
                <w:szCs w:val="22"/>
              </w:rPr>
            </w:pPr>
          </w:p>
          <w:p w14:paraId="5A365077" w14:textId="1E50D5BB"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0070C0"/>
                <w:sz w:val="22"/>
                <w:szCs w:val="22"/>
              </w:rPr>
              <w:t>6</w:t>
            </w:r>
          </w:p>
        </w:tc>
      </w:tr>
      <w:tr w:rsidR="00CA1B40" w:rsidRPr="000B6C54" w14:paraId="4C3C2982" w14:textId="77777777" w:rsidTr="00B97D9E">
        <w:tc>
          <w:tcPr>
            <w:tcW w:w="1134" w:type="dxa"/>
          </w:tcPr>
          <w:p w14:paraId="6A441D25"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F 19-24</w:t>
            </w:r>
          </w:p>
        </w:tc>
        <w:tc>
          <w:tcPr>
            <w:tcW w:w="1134" w:type="dxa"/>
          </w:tcPr>
          <w:p w14:paraId="521EF506" w14:textId="697EF0DB"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w:t>
            </w:r>
            <w:r w:rsidRPr="005E19ED">
              <w:rPr>
                <w:rFonts w:ascii="Calibri" w:hAnsi="Calibri" w:cs="Calibri"/>
                <w:sz w:val="22"/>
                <w:szCs w:val="22"/>
              </w:rPr>
              <w:t>8</w:t>
            </w:r>
            <w:r w:rsidR="004678A6" w:rsidRPr="00393AEC">
              <w:rPr>
                <w:rFonts w:ascii="Calibri" w:hAnsi="Calibri" w:cs="Calibri"/>
                <w:color w:val="5B9BD5" w:themeColor="accent1"/>
                <w:sz w:val="22"/>
                <w:szCs w:val="22"/>
              </w:rPr>
              <w:t>80</w:t>
            </w:r>
          </w:p>
        </w:tc>
        <w:tc>
          <w:tcPr>
            <w:tcW w:w="850" w:type="dxa"/>
          </w:tcPr>
          <w:p w14:paraId="08AAC631" w14:textId="743A6E1F"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w:t>
            </w:r>
            <w:r w:rsidRPr="00393AEC">
              <w:rPr>
                <w:rFonts w:ascii="Calibri" w:hAnsi="Calibri" w:cs="Calibri"/>
                <w:color w:val="0070C0"/>
                <w:sz w:val="22"/>
                <w:szCs w:val="22"/>
              </w:rPr>
              <w:t>8</w:t>
            </w:r>
            <w:r w:rsidR="004678A6" w:rsidRPr="00393AEC">
              <w:rPr>
                <w:rFonts w:ascii="Calibri" w:hAnsi="Calibri" w:cs="Calibri"/>
                <w:color w:val="0070C0"/>
                <w:sz w:val="22"/>
                <w:szCs w:val="22"/>
              </w:rPr>
              <w:t>0</w:t>
            </w:r>
          </w:p>
        </w:tc>
        <w:tc>
          <w:tcPr>
            <w:tcW w:w="893" w:type="dxa"/>
          </w:tcPr>
          <w:p w14:paraId="1A820591" w14:textId="03411187" w:rsidR="00CA1B40" w:rsidRPr="00393AEC" w:rsidRDefault="00CA1B40" w:rsidP="000B6C54">
            <w:pPr>
              <w:spacing w:line="240" w:lineRule="auto"/>
              <w:ind w:firstLine="0"/>
              <w:rPr>
                <w:rFonts w:ascii="Calibri" w:hAnsi="Calibri" w:cs="Calibri"/>
                <w:b/>
                <w:bCs/>
                <w:sz w:val="22"/>
                <w:szCs w:val="22"/>
              </w:rPr>
            </w:pPr>
            <w:r w:rsidRPr="00393AEC">
              <w:rPr>
                <w:rFonts w:ascii="Calibri" w:hAnsi="Calibri" w:cs="Calibri"/>
                <w:b/>
                <w:bCs/>
                <w:sz w:val="22"/>
                <w:szCs w:val="22"/>
              </w:rPr>
              <w:t>0.88</w:t>
            </w:r>
            <w:r w:rsidR="004678A6" w:rsidRPr="00393AEC">
              <w:rPr>
                <w:rFonts w:ascii="Calibri" w:hAnsi="Calibri" w:cs="Calibri"/>
                <w:b/>
                <w:bCs/>
                <w:color w:val="0070C0"/>
                <w:sz w:val="22"/>
                <w:szCs w:val="22"/>
              </w:rPr>
              <w:t>7</w:t>
            </w:r>
          </w:p>
        </w:tc>
        <w:tc>
          <w:tcPr>
            <w:tcW w:w="951" w:type="dxa"/>
          </w:tcPr>
          <w:p w14:paraId="091C5542" w14:textId="0DA888BF" w:rsidR="00CA1B40" w:rsidRPr="000B6C54" w:rsidRDefault="00CA1B40" w:rsidP="000B6C54">
            <w:pPr>
              <w:spacing w:line="240" w:lineRule="auto"/>
              <w:ind w:firstLine="0"/>
              <w:rPr>
                <w:rFonts w:ascii="Calibri" w:hAnsi="Calibri" w:cs="Calibri"/>
                <w:b/>
                <w:bCs/>
                <w:sz w:val="22"/>
                <w:szCs w:val="22"/>
              </w:rPr>
            </w:pPr>
            <w:r w:rsidRPr="000B6C54">
              <w:rPr>
                <w:rFonts w:ascii="Calibri" w:hAnsi="Calibri" w:cs="Calibri"/>
                <w:b/>
                <w:bCs/>
                <w:sz w:val="22"/>
                <w:szCs w:val="22"/>
              </w:rPr>
              <w:t>0.88</w:t>
            </w:r>
            <w:r w:rsidR="004678A6" w:rsidRPr="00393AEC">
              <w:rPr>
                <w:rFonts w:ascii="Calibri" w:hAnsi="Calibri" w:cs="Calibri"/>
                <w:b/>
                <w:bCs/>
                <w:color w:val="0070C0"/>
                <w:sz w:val="22"/>
                <w:szCs w:val="22"/>
              </w:rPr>
              <w:t>7</w:t>
            </w:r>
          </w:p>
        </w:tc>
        <w:tc>
          <w:tcPr>
            <w:tcW w:w="992" w:type="dxa"/>
          </w:tcPr>
          <w:p w14:paraId="1EFF86B1" w14:textId="35EF5B5F"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0.84</w:t>
            </w:r>
            <w:r w:rsidR="004678A6" w:rsidRPr="00393AEC">
              <w:rPr>
                <w:rFonts w:ascii="Calibri" w:hAnsi="Calibri" w:cs="Calibri"/>
                <w:color w:val="0070C0"/>
                <w:sz w:val="22"/>
                <w:szCs w:val="22"/>
              </w:rPr>
              <w:t>8</w:t>
            </w:r>
          </w:p>
        </w:tc>
        <w:tc>
          <w:tcPr>
            <w:tcW w:w="850" w:type="dxa"/>
          </w:tcPr>
          <w:p w14:paraId="4BDEF33D" w14:textId="1E2B81DA"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0070C0"/>
                <w:sz w:val="22"/>
                <w:szCs w:val="22"/>
              </w:rPr>
              <w:t>6</w:t>
            </w:r>
          </w:p>
        </w:tc>
        <w:tc>
          <w:tcPr>
            <w:tcW w:w="1418" w:type="dxa"/>
          </w:tcPr>
          <w:p w14:paraId="43265B2E" w14:textId="5827C73C"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w:t>
            </w:r>
            <w:r w:rsidR="004678A6" w:rsidRPr="00393AEC">
              <w:rPr>
                <w:rFonts w:ascii="Calibri" w:hAnsi="Calibri" w:cs="Calibri"/>
                <w:color w:val="0070C0"/>
                <w:sz w:val="22"/>
                <w:szCs w:val="22"/>
              </w:rPr>
              <w:t>80</w:t>
            </w:r>
          </w:p>
        </w:tc>
      </w:tr>
      <w:tr w:rsidR="00CA1B40" w:rsidRPr="000B6C54" w14:paraId="41388247" w14:textId="77777777" w:rsidTr="00B97D9E">
        <w:tc>
          <w:tcPr>
            <w:tcW w:w="1134" w:type="dxa"/>
          </w:tcPr>
          <w:p w14:paraId="3B11509F"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M 15-18</w:t>
            </w:r>
          </w:p>
        </w:tc>
        <w:tc>
          <w:tcPr>
            <w:tcW w:w="1134" w:type="dxa"/>
          </w:tcPr>
          <w:p w14:paraId="224EA8EC" w14:textId="51A94EDD"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5B9BD5" w:themeColor="accent1"/>
                <w:sz w:val="22"/>
                <w:szCs w:val="22"/>
              </w:rPr>
              <w:t>1</w:t>
            </w:r>
          </w:p>
        </w:tc>
        <w:tc>
          <w:tcPr>
            <w:tcW w:w="850" w:type="dxa"/>
          </w:tcPr>
          <w:p w14:paraId="3EB33250" w14:textId="0DE99EFA"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0070C0"/>
                <w:sz w:val="22"/>
                <w:szCs w:val="22"/>
              </w:rPr>
              <w:t>1</w:t>
            </w:r>
          </w:p>
        </w:tc>
        <w:tc>
          <w:tcPr>
            <w:tcW w:w="893" w:type="dxa"/>
          </w:tcPr>
          <w:p w14:paraId="7B9DF2F6" w14:textId="3FA46EDF" w:rsidR="00CA1B40" w:rsidRPr="000B6C54" w:rsidRDefault="00CA1B40" w:rsidP="000B6C54">
            <w:pPr>
              <w:spacing w:line="240" w:lineRule="auto"/>
              <w:ind w:firstLine="0"/>
              <w:rPr>
                <w:rFonts w:ascii="Calibri" w:hAnsi="Calibri" w:cs="Calibri"/>
                <w:b/>
                <w:bCs/>
                <w:sz w:val="22"/>
                <w:szCs w:val="22"/>
              </w:rPr>
            </w:pPr>
            <w:r w:rsidRPr="000B6C54">
              <w:rPr>
                <w:rFonts w:ascii="Calibri" w:hAnsi="Calibri" w:cs="Calibri"/>
                <w:b/>
                <w:bCs/>
                <w:sz w:val="22"/>
                <w:szCs w:val="22"/>
              </w:rPr>
              <w:t>0.8</w:t>
            </w:r>
            <w:r w:rsidR="004678A6" w:rsidRPr="00393AEC">
              <w:rPr>
                <w:rFonts w:ascii="Calibri" w:hAnsi="Calibri" w:cs="Calibri"/>
                <w:b/>
                <w:bCs/>
                <w:color w:val="0070C0"/>
                <w:sz w:val="22"/>
                <w:szCs w:val="22"/>
              </w:rPr>
              <w:t>89</w:t>
            </w:r>
          </w:p>
        </w:tc>
        <w:tc>
          <w:tcPr>
            <w:tcW w:w="951" w:type="dxa"/>
          </w:tcPr>
          <w:p w14:paraId="757EC7A4" w14:textId="1775377A"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0070C0"/>
                <w:sz w:val="22"/>
                <w:szCs w:val="22"/>
              </w:rPr>
              <w:t>6</w:t>
            </w:r>
          </w:p>
        </w:tc>
        <w:tc>
          <w:tcPr>
            <w:tcW w:w="992" w:type="dxa"/>
          </w:tcPr>
          <w:p w14:paraId="1BBDDD96" w14:textId="43330141"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0.86</w:t>
            </w:r>
            <w:r w:rsidR="004678A6" w:rsidRPr="00393AEC">
              <w:rPr>
                <w:rFonts w:ascii="Calibri" w:hAnsi="Calibri" w:cs="Calibri"/>
                <w:color w:val="0070C0"/>
                <w:sz w:val="22"/>
                <w:szCs w:val="22"/>
              </w:rPr>
              <w:t>3</w:t>
            </w:r>
          </w:p>
        </w:tc>
        <w:tc>
          <w:tcPr>
            <w:tcW w:w="850" w:type="dxa"/>
          </w:tcPr>
          <w:p w14:paraId="5DEA7279" w14:textId="046E319A" w:rsidR="00CA1B40" w:rsidRPr="00393AEC" w:rsidRDefault="00CA1B40" w:rsidP="000B6C54">
            <w:pPr>
              <w:spacing w:line="240" w:lineRule="auto"/>
              <w:ind w:firstLine="0"/>
              <w:rPr>
                <w:rFonts w:ascii="Calibri" w:hAnsi="Calibri" w:cs="Calibri"/>
                <w:sz w:val="22"/>
                <w:szCs w:val="22"/>
              </w:rPr>
            </w:pPr>
            <w:r w:rsidRPr="00393AEC">
              <w:rPr>
                <w:rFonts w:ascii="Calibri" w:hAnsi="Calibri" w:cs="Calibri"/>
              </w:rPr>
              <w:t>0.8</w:t>
            </w:r>
            <w:r w:rsidR="004678A6" w:rsidRPr="00393AEC">
              <w:rPr>
                <w:rFonts w:ascii="Calibri" w:hAnsi="Calibri" w:cs="Calibri"/>
                <w:color w:val="0070C0"/>
                <w:sz w:val="22"/>
                <w:szCs w:val="22"/>
              </w:rPr>
              <w:t>88</w:t>
            </w:r>
          </w:p>
        </w:tc>
        <w:tc>
          <w:tcPr>
            <w:tcW w:w="1418" w:type="dxa"/>
          </w:tcPr>
          <w:p w14:paraId="06366187" w14:textId="48F986CA"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0070C0"/>
                <w:sz w:val="22"/>
                <w:szCs w:val="22"/>
              </w:rPr>
              <w:t>2</w:t>
            </w:r>
          </w:p>
        </w:tc>
      </w:tr>
      <w:tr w:rsidR="00CA1B40" w:rsidRPr="000B6C54" w14:paraId="1E1EFA48" w14:textId="77777777" w:rsidTr="00B97D9E">
        <w:trPr>
          <w:trHeight w:val="80"/>
        </w:trPr>
        <w:tc>
          <w:tcPr>
            <w:tcW w:w="1134" w:type="dxa"/>
            <w:tcBorders>
              <w:bottom w:val="single" w:sz="4" w:space="0" w:color="auto"/>
            </w:tcBorders>
          </w:tcPr>
          <w:p w14:paraId="2FEABD07" w14:textId="77777777"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M 19-24</w:t>
            </w:r>
          </w:p>
        </w:tc>
        <w:tc>
          <w:tcPr>
            <w:tcW w:w="1134" w:type="dxa"/>
            <w:tcBorders>
              <w:bottom w:val="single" w:sz="4" w:space="0" w:color="auto"/>
            </w:tcBorders>
          </w:tcPr>
          <w:p w14:paraId="5B628A36" w14:textId="5B8B3D56"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w:t>
            </w:r>
            <w:r w:rsidR="004678A6" w:rsidRPr="00393AEC">
              <w:rPr>
                <w:rFonts w:ascii="Calibri" w:hAnsi="Calibri" w:cs="Calibri"/>
                <w:color w:val="0070C0"/>
                <w:sz w:val="22"/>
                <w:szCs w:val="22"/>
              </w:rPr>
              <w:t>95</w:t>
            </w:r>
          </w:p>
        </w:tc>
        <w:tc>
          <w:tcPr>
            <w:tcW w:w="850" w:type="dxa"/>
            <w:tcBorders>
              <w:bottom w:val="single" w:sz="4" w:space="0" w:color="auto"/>
            </w:tcBorders>
          </w:tcPr>
          <w:p w14:paraId="6E5D1D32" w14:textId="338B715D"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0.89</w:t>
            </w:r>
            <w:r w:rsidR="004678A6" w:rsidRPr="00393AEC">
              <w:rPr>
                <w:rFonts w:ascii="Calibri" w:hAnsi="Calibri" w:cs="Calibri"/>
                <w:color w:val="0070C0"/>
                <w:sz w:val="22"/>
                <w:szCs w:val="22"/>
              </w:rPr>
              <w:t>5</w:t>
            </w:r>
          </w:p>
        </w:tc>
        <w:tc>
          <w:tcPr>
            <w:tcW w:w="893" w:type="dxa"/>
            <w:tcBorders>
              <w:bottom w:val="single" w:sz="4" w:space="0" w:color="auto"/>
            </w:tcBorders>
          </w:tcPr>
          <w:p w14:paraId="0535F05E" w14:textId="021CE704"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0.89</w:t>
            </w:r>
            <w:r w:rsidR="004678A6" w:rsidRPr="00393AEC">
              <w:rPr>
                <w:rFonts w:ascii="Calibri" w:hAnsi="Calibri" w:cs="Calibri"/>
                <w:color w:val="0070C0"/>
                <w:sz w:val="22"/>
                <w:szCs w:val="22"/>
              </w:rPr>
              <w:t>8</w:t>
            </w:r>
          </w:p>
        </w:tc>
        <w:tc>
          <w:tcPr>
            <w:tcW w:w="951" w:type="dxa"/>
            <w:tcBorders>
              <w:bottom w:val="single" w:sz="4" w:space="0" w:color="auto"/>
            </w:tcBorders>
          </w:tcPr>
          <w:p w14:paraId="0152FA87" w14:textId="2BC8B1D3" w:rsidR="00CA1B40" w:rsidRPr="000B6C54" w:rsidRDefault="00CA1B40" w:rsidP="000B6C54">
            <w:pPr>
              <w:spacing w:line="240" w:lineRule="auto"/>
              <w:ind w:firstLine="0"/>
              <w:rPr>
                <w:rFonts w:ascii="Calibri" w:hAnsi="Calibri" w:cs="Calibri"/>
                <w:b/>
                <w:bCs/>
                <w:sz w:val="22"/>
                <w:szCs w:val="22"/>
              </w:rPr>
            </w:pPr>
            <w:r w:rsidRPr="000B6C54">
              <w:rPr>
                <w:rFonts w:ascii="Calibri" w:hAnsi="Calibri" w:cs="Calibri"/>
                <w:b/>
                <w:bCs/>
                <w:sz w:val="22"/>
                <w:szCs w:val="22"/>
              </w:rPr>
              <w:t>0.</w:t>
            </w:r>
            <w:r w:rsidR="004678A6" w:rsidRPr="00393AEC">
              <w:rPr>
                <w:rFonts w:ascii="Calibri" w:hAnsi="Calibri" w:cs="Calibri"/>
                <w:b/>
                <w:bCs/>
                <w:color w:val="0070C0"/>
                <w:sz w:val="22"/>
                <w:szCs w:val="22"/>
              </w:rPr>
              <w:t>902</w:t>
            </w:r>
          </w:p>
        </w:tc>
        <w:tc>
          <w:tcPr>
            <w:tcW w:w="992" w:type="dxa"/>
            <w:tcBorders>
              <w:bottom w:val="single" w:sz="4" w:space="0" w:color="auto"/>
            </w:tcBorders>
          </w:tcPr>
          <w:p w14:paraId="6761BF3E" w14:textId="26C421BB"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w:t>
            </w:r>
            <w:r w:rsidR="004678A6" w:rsidRPr="00393AEC">
              <w:rPr>
                <w:rFonts w:ascii="Calibri" w:hAnsi="Calibri" w:cs="Calibri"/>
                <w:color w:val="0070C0"/>
                <w:sz w:val="22"/>
                <w:szCs w:val="22"/>
              </w:rPr>
              <w:t>73</w:t>
            </w:r>
          </w:p>
        </w:tc>
        <w:tc>
          <w:tcPr>
            <w:tcW w:w="850" w:type="dxa"/>
            <w:tcBorders>
              <w:bottom w:val="single" w:sz="4" w:space="0" w:color="auto"/>
            </w:tcBorders>
          </w:tcPr>
          <w:p w14:paraId="2BF2A231" w14:textId="1DCF39B2"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0.89</w:t>
            </w:r>
            <w:r w:rsidR="004678A6" w:rsidRPr="00393AEC">
              <w:rPr>
                <w:rFonts w:ascii="Calibri" w:hAnsi="Calibri" w:cs="Calibri"/>
                <w:color w:val="0070C0"/>
                <w:sz w:val="22"/>
                <w:szCs w:val="22"/>
              </w:rPr>
              <w:t>8</w:t>
            </w:r>
          </w:p>
        </w:tc>
        <w:tc>
          <w:tcPr>
            <w:tcW w:w="1418" w:type="dxa"/>
            <w:tcBorders>
              <w:bottom w:val="single" w:sz="4" w:space="0" w:color="auto"/>
            </w:tcBorders>
          </w:tcPr>
          <w:p w14:paraId="1644E9A0" w14:textId="3C75B9D3" w:rsidR="00CA1B40" w:rsidRPr="000B6C54" w:rsidRDefault="00CA1B40" w:rsidP="000B6C54">
            <w:pPr>
              <w:spacing w:line="240" w:lineRule="auto"/>
              <w:ind w:firstLine="0"/>
              <w:rPr>
                <w:rFonts w:ascii="Calibri" w:hAnsi="Calibri" w:cs="Calibri"/>
                <w:sz w:val="22"/>
                <w:szCs w:val="22"/>
              </w:rPr>
            </w:pPr>
            <w:r w:rsidRPr="000B6C54">
              <w:rPr>
                <w:rFonts w:ascii="Calibri" w:hAnsi="Calibri" w:cs="Calibri"/>
                <w:sz w:val="22"/>
                <w:szCs w:val="22"/>
              </w:rPr>
              <w:t>0.88</w:t>
            </w:r>
            <w:r w:rsidR="004678A6" w:rsidRPr="00393AEC">
              <w:rPr>
                <w:rFonts w:ascii="Calibri" w:hAnsi="Calibri" w:cs="Calibri"/>
                <w:color w:val="0070C0"/>
                <w:sz w:val="22"/>
                <w:szCs w:val="22"/>
              </w:rPr>
              <w:t>7</w:t>
            </w:r>
          </w:p>
        </w:tc>
      </w:tr>
    </w:tbl>
    <w:p w14:paraId="5D7326F3" w14:textId="27F87D97" w:rsidR="00F86176" w:rsidRPr="000B6C54" w:rsidRDefault="00F86176" w:rsidP="000B6C54">
      <w:pPr>
        <w:spacing w:line="240" w:lineRule="auto"/>
        <w:rPr>
          <w:rFonts w:ascii="Calibri" w:hAnsi="Calibri" w:cs="Calibri"/>
        </w:rPr>
      </w:pPr>
      <w:r w:rsidRPr="000B6C54">
        <w:rPr>
          <w:rFonts w:ascii="Calibri" w:hAnsi="Calibri" w:cs="Calibri"/>
        </w:rPr>
        <w:lastRenderedPageBreak/>
        <w:t>Note: The highest AUC values are highlighted in bold font.</w:t>
      </w:r>
    </w:p>
    <w:p w14:paraId="5EF81873" w14:textId="77777777" w:rsidR="00A560B2" w:rsidRPr="00F86176" w:rsidRDefault="00A560B2" w:rsidP="00764234"/>
    <w:p w14:paraId="7D6E9521" w14:textId="1E532B05" w:rsidR="00631031" w:rsidRPr="004154C1" w:rsidRDefault="007C5381" w:rsidP="00764234">
      <w:r>
        <w:t xml:space="preserve">Overall, we find the </w:t>
      </w:r>
      <w:proofErr w:type="spellStart"/>
      <w:r>
        <w:t>XGBoost</w:t>
      </w:r>
      <w:proofErr w:type="spellEnd"/>
      <w:r>
        <w:t xml:space="preserve"> performs best </w:t>
      </w:r>
      <w:r w:rsidRPr="00393AEC">
        <w:rPr>
          <w:color w:val="0070C0"/>
        </w:rPr>
        <w:t xml:space="preserve">on </w:t>
      </w:r>
      <w:r w:rsidR="004678A6" w:rsidRPr="00393AEC">
        <w:rPr>
          <w:color w:val="0070C0"/>
        </w:rPr>
        <w:t>two</w:t>
      </w:r>
      <w:r w:rsidRPr="00393AEC">
        <w:rPr>
          <w:color w:val="0070C0"/>
        </w:rPr>
        <w:t xml:space="preserve"> </w:t>
      </w:r>
      <w:r>
        <w:t>out of four dataset</w:t>
      </w:r>
      <w:r w:rsidR="008872DE">
        <w:t>s</w:t>
      </w:r>
      <w:r>
        <w:t xml:space="preserve">, Gradient Boosting </w:t>
      </w:r>
      <w:r w:rsidR="004678A6" w:rsidRPr="00393AEC">
        <w:rPr>
          <w:color w:val="0070C0"/>
        </w:rPr>
        <w:t>best</w:t>
      </w:r>
      <w:r w:rsidRPr="00393AEC">
        <w:rPr>
          <w:color w:val="0070C0"/>
        </w:rPr>
        <w:t xml:space="preserve"> on </w:t>
      </w:r>
      <w:r w:rsidR="004678A6" w:rsidRPr="00393AEC">
        <w:rPr>
          <w:color w:val="0070C0"/>
        </w:rPr>
        <w:t>three, with one tied result</w:t>
      </w:r>
      <w:r w:rsidRPr="00393AEC">
        <w:rPr>
          <w:color w:val="0070C0"/>
        </w:rPr>
        <w:t>.</w:t>
      </w:r>
      <w:r>
        <w:t xml:space="preserve"> However, the overall performance is comparable across all models. Indeed, the difference </w:t>
      </w:r>
      <w:r w:rsidRPr="00F2634B">
        <w:t xml:space="preserve">between the best performing and the </w:t>
      </w:r>
      <w:r w:rsidRPr="00393AEC">
        <w:rPr>
          <w:color w:val="0070C0"/>
        </w:rPr>
        <w:t>s</w:t>
      </w:r>
      <w:r w:rsidR="00F46435" w:rsidRPr="00393AEC">
        <w:rPr>
          <w:color w:val="0070C0"/>
        </w:rPr>
        <w:t>tepwise</w:t>
      </w:r>
      <w:r w:rsidRPr="00F2634B">
        <w:t xml:space="preserve"> </w:t>
      </w:r>
      <w:r w:rsidR="003974CD" w:rsidRPr="00F2634B">
        <w:t>logistic regression</w:t>
      </w:r>
      <w:r w:rsidRPr="00F2634B">
        <w:t xml:space="preserve"> (</w:t>
      </w:r>
      <w:r w:rsidR="00F46435" w:rsidRPr="00393AEC">
        <w:rPr>
          <w:color w:val="0070C0"/>
        </w:rPr>
        <w:t xml:space="preserve">Stepwise </w:t>
      </w:r>
      <w:r w:rsidRPr="00F2634B">
        <w:t xml:space="preserve">Replication column) are rather small, ranging </w:t>
      </w:r>
      <w:r w:rsidR="008872DE" w:rsidRPr="00F2634B">
        <w:t>between</w:t>
      </w:r>
      <w:r w:rsidRPr="00F2634B">
        <w:t xml:space="preserve"> .00</w:t>
      </w:r>
      <w:r w:rsidR="00F46435">
        <w:t>5</w:t>
      </w:r>
      <w:r w:rsidRPr="00F2634B">
        <w:t xml:space="preserve"> </w:t>
      </w:r>
      <w:r w:rsidR="008872DE" w:rsidRPr="00F2634B">
        <w:t>and</w:t>
      </w:r>
      <w:r w:rsidRPr="00F2634B">
        <w:t xml:space="preserve"> .01</w:t>
      </w:r>
      <w:r w:rsidR="00F46435" w:rsidRPr="00393AEC">
        <w:rPr>
          <w:color w:val="0070C0"/>
        </w:rPr>
        <w:t>5</w:t>
      </w:r>
      <w:r w:rsidRPr="00F2634B">
        <w:t>.</w:t>
      </w:r>
      <w:r w:rsidR="007A1200" w:rsidRPr="00F2634B">
        <w:t xml:space="preserve"> In short, despite using much more advanced and recent regression frameworks, little additional value was found over the predictive accuracy obtained with a </w:t>
      </w:r>
      <w:r w:rsidR="004B651C" w:rsidRPr="00F2634B">
        <w:t>logistic</w:t>
      </w:r>
      <w:r w:rsidR="007A1200" w:rsidRPr="00F2634B">
        <w:t xml:space="preserve"> regression model.</w:t>
      </w:r>
      <w:r w:rsidR="007A1200">
        <w:t xml:space="preserve"> </w:t>
      </w:r>
    </w:p>
    <w:p w14:paraId="27F312C4" w14:textId="0414DCBF" w:rsidR="00631031" w:rsidRDefault="00D61F8A" w:rsidP="00764234">
      <w:pPr>
        <w:pStyle w:val="Heading2"/>
      </w:pPr>
      <w:r>
        <w:t>GP Visits</w:t>
      </w:r>
    </w:p>
    <w:p w14:paraId="51ECA50F" w14:textId="2D100E66" w:rsidR="00D61F8A" w:rsidRDefault="00463CC4" w:rsidP="00764234">
      <w:r>
        <w:t>Although our alternative models achieved comparable performance to the standard logistic regression, it is an open question whether these models agree with respect to the variable importance. Using “</w:t>
      </w:r>
      <w:proofErr w:type="spellStart"/>
      <w:r>
        <w:t>varimp</w:t>
      </w:r>
      <w:proofErr w:type="spellEnd"/>
      <w:r>
        <w:t>” function in R</w:t>
      </w:r>
      <w:r w:rsidR="0066510F">
        <w:t xml:space="preserve"> (using the </w:t>
      </w:r>
      <w:r w:rsidR="0066510F" w:rsidRPr="003D722E">
        <w:t xml:space="preserve">caret </w:t>
      </w:r>
      <w:r w:rsidR="0066510F">
        <w:t xml:space="preserve">library </w:t>
      </w:r>
      <w:r w:rsidR="0066510F" w:rsidRPr="003D722E">
        <w:t>(version 6.0-92)</w:t>
      </w:r>
      <w:r w:rsidR="0066510F">
        <w:t>)</w:t>
      </w:r>
      <w:r>
        <w:t xml:space="preserve">, we computed relative importance for all of models discussed so far. We report the full ranking obtained for each model and for each </w:t>
      </w:r>
      <w:r w:rsidRPr="00852313">
        <w:t>group in Appendix</w:t>
      </w:r>
      <w:r w:rsidR="008B598D" w:rsidRPr="00852313">
        <w:t xml:space="preserve"> </w:t>
      </w:r>
      <w:r w:rsidR="00B86BF2" w:rsidRPr="00852313">
        <w:t>F</w:t>
      </w:r>
      <w:r w:rsidRPr="00852313">
        <w:t>, but</w:t>
      </w:r>
      <w:r>
        <w:t xml:space="preserve"> we use the remainder of this section to </w:t>
      </w:r>
      <w:r w:rsidR="00D61F8A">
        <w:t xml:space="preserve">discuss the </w:t>
      </w:r>
      <w:r>
        <w:t>“count”</w:t>
      </w:r>
      <w:r w:rsidR="00D61F8A">
        <w:t xml:space="preserve"> variable, which </w:t>
      </w:r>
      <w:r w:rsidR="00812856">
        <w:t xml:space="preserve">corresponds to the number of visits to GP within a year </w:t>
      </w:r>
      <w:r w:rsidR="00812856" w:rsidRPr="00154E63">
        <w:t>prior to the index date. Our results show that count c</w:t>
      </w:r>
      <w:r w:rsidR="00D61F8A" w:rsidRPr="00154E63">
        <w:t xml:space="preserve">onsistently appears as one of the </w:t>
      </w:r>
      <w:r w:rsidR="00EA2D37" w:rsidRPr="00154E63">
        <w:t>highest-ranking</w:t>
      </w:r>
      <w:r w:rsidR="00812856" w:rsidRPr="00154E63">
        <w:t xml:space="preserve"> predictors</w:t>
      </w:r>
      <w:r w:rsidR="00D61F8A" w:rsidRPr="00154E63">
        <w:t xml:space="preserve"> </w:t>
      </w:r>
      <w:r w:rsidR="0077520A">
        <w:t xml:space="preserve">in terms of variable importance </w:t>
      </w:r>
      <w:r w:rsidR="00D61F8A" w:rsidRPr="00852313">
        <w:t>(</w:t>
      </w:r>
      <w:r w:rsidR="00852313" w:rsidRPr="00852313">
        <w:t xml:space="preserve">Tables 8 and 9, </w:t>
      </w:r>
      <w:r w:rsidR="00952171" w:rsidRPr="00852313">
        <w:t xml:space="preserve">Appendix </w:t>
      </w:r>
      <w:r w:rsidR="00B86BF2" w:rsidRPr="00852313">
        <w:t>F</w:t>
      </w:r>
      <w:r w:rsidR="00952171" w:rsidRPr="00852313">
        <w:t>)</w:t>
      </w:r>
      <w:r w:rsidR="00EA2D37" w:rsidRPr="00852313">
        <w:t>.</w:t>
      </w:r>
      <w:r w:rsidR="00812856" w:rsidRPr="00852313">
        <w:t xml:space="preserve"> In</w:t>
      </w:r>
      <w:r w:rsidR="00812856" w:rsidRPr="00154E63">
        <w:t xml:space="preserve"> fact, removing count from the list of predictors in our models largely reduces the AUC performance. </w:t>
      </w:r>
      <w:r w:rsidR="00FD596F" w:rsidRPr="00154E63">
        <w:t xml:space="preserve">To illustrate, consider some of the </w:t>
      </w:r>
      <w:r w:rsidR="00812856" w:rsidRPr="00154E63">
        <w:t>mode</w:t>
      </w:r>
      <w:r w:rsidR="00FD596F" w:rsidRPr="00154E63">
        <w:t>ls fitted to the F 15-18 group. Here we</w:t>
      </w:r>
      <w:r w:rsidR="00FD596F" w:rsidRPr="00393AEC">
        <w:rPr>
          <w:color w:val="0070C0"/>
        </w:rPr>
        <w:t xml:space="preserve"> f</w:t>
      </w:r>
      <w:r w:rsidR="00EA01EC" w:rsidRPr="00393AEC">
        <w:rPr>
          <w:color w:val="0070C0"/>
        </w:rPr>
        <w:t>ou</w:t>
      </w:r>
      <w:r w:rsidR="00FD596F" w:rsidRPr="00393AEC">
        <w:rPr>
          <w:color w:val="0070C0"/>
        </w:rPr>
        <w:t xml:space="preserve">nd </w:t>
      </w:r>
      <w:r w:rsidR="00FD596F" w:rsidRPr="00154E63">
        <w:t xml:space="preserve">that </w:t>
      </w:r>
      <w:r w:rsidR="00812856" w:rsidRPr="00154E63">
        <w:t>our AUC reduces from 0.88</w:t>
      </w:r>
      <w:r w:rsidR="00C35DB8" w:rsidRPr="00393AEC">
        <w:rPr>
          <w:color w:val="0070C0"/>
        </w:rPr>
        <w:t>6</w:t>
      </w:r>
      <w:r w:rsidR="00812856" w:rsidRPr="00154E63">
        <w:t xml:space="preserve"> to 0.82</w:t>
      </w:r>
      <w:r w:rsidR="00C35DB8" w:rsidRPr="00393AEC">
        <w:rPr>
          <w:color w:val="0070C0"/>
        </w:rPr>
        <w:t>8</w:t>
      </w:r>
      <w:r w:rsidR="00812856" w:rsidRPr="00154E63">
        <w:t xml:space="preserve"> for the backward stepwise logistic regressi</w:t>
      </w:r>
      <w:r w:rsidR="00812856">
        <w:t>on, from 0.8</w:t>
      </w:r>
      <w:r w:rsidR="00C35DB8" w:rsidRPr="00393AEC">
        <w:rPr>
          <w:color w:val="0070C0"/>
        </w:rPr>
        <w:t>3</w:t>
      </w:r>
      <w:r w:rsidR="00812856" w:rsidRPr="00393AEC">
        <w:rPr>
          <w:color w:val="0070C0"/>
        </w:rPr>
        <w:t>8</w:t>
      </w:r>
      <w:r w:rsidR="00812856">
        <w:t xml:space="preserve"> to 0.7</w:t>
      </w:r>
      <w:r w:rsidR="00C35DB8" w:rsidRPr="00393AEC">
        <w:rPr>
          <w:color w:val="0070C0"/>
        </w:rPr>
        <w:t>86</w:t>
      </w:r>
      <w:r w:rsidR="00812856">
        <w:t xml:space="preserve"> for </w:t>
      </w:r>
      <w:proofErr w:type="spellStart"/>
      <w:r w:rsidR="00812856">
        <w:t>Rpart</w:t>
      </w:r>
      <w:proofErr w:type="spellEnd"/>
      <w:r w:rsidR="00812856">
        <w:t>, and from 0.89</w:t>
      </w:r>
      <w:r w:rsidR="00C35DB8" w:rsidRPr="00393AEC">
        <w:rPr>
          <w:color w:val="0070C0"/>
        </w:rPr>
        <w:t>0</w:t>
      </w:r>
      <w:r w:rsidR="00812856">
        <w:t xml:space="preserve"> to 0.8</w:t>
      </w:r>
      <w:r w:rsidR="00C35DB8" w:rsidRPr="00393AEC">
        <w:rPr>
          <w:color w:val="0070C0"/>
        </w:rPr>
        <w:t>28</w:t>
      </w:r>
      <w:r w:rsidR="00812856">
        <w:t xml:space="preserve"> for Pre.</w:t>
      </w:r>
      <w:r w:rsidR="00CE0454">
        <w:t xml:space="preserve"> Thus overall, the count variable seems to have a non-trivial effect on model accuracy.</w:t>
      </w:r>
      <w:r w:rsidR="00BE1497">
        <w:t xml:space="preserve"> We discuss the reason why count may be so important in the final section.</w:t>
      </w:r>
    </w:p>
    <w:p w14:paraId="54B7790C" w14:textId="6B886144" w:rsidR="004362AB" w:rsidRDefault="004362AB" w:rsidP="00764234">
      <w:pPr>
        <w:pStyle w:val="Heading1"/>
      </w:pPr>
      <w:r>
        <w:t>General Discussion</w:t>
      </w:r>
    </w:p>
    <w:p w14:paraId="6951D655" w14:textId="02DE7CE8" w:rsidR="006F3C5D" w:rsidRDefault="001C47B7" w:rsidP="00764234">
      <w:r>
        <w:t>In recent years, the g</w:t>
      </w:r>
      <w:r w:rsidR="00AA089B">
        <w:t xml:space="preserve">rowing popularity of ML methods and </w:t>
      </w:r>
      <w:r w:rsidR="00261BDA">
        <w:t xml:space="preserve">the expanding </w:t>
      </w:r>
      <w:r w:rsidR="00AA089B">
        <w:t>accessibili</w:t>
      </w:r>
      <w:r>
        <w:t xml:space="preserve">ty of large healthcare datasets resulted in many new efforts to train predictive models of mental and physical </w:t>
      </w:r>
      <w:r>
        <w:lastRenderedPageBreak/>
        <w:t xml:space="preserve">health diagnoses. Yet, </w:t>
      </w:r>
      <w:r w:rsidR="00AA089B">
        <w:t>little or no effort has been made to reproduce and replicate existing research</w:t>
      </w:r>
      <w:r>
        <w:t xml:space="preserve">. </w:t>
      </w:r>
      <w:r w:rsidR="00810D14">
        <w:t xml:space="preserve">To address this issue, </w:t>
      </w:r>
      <w:r w:rsidR="00B87978">
        <w:t>the goal of the present paper</w:t>
      </w:r>
      <w:r w:rsidR="00AA089B">
        <w:t xml:space="preserve"> was to establish the robustness of findings </w:t>
      </w:r>
      <w:r w:rsidR="00AA089B" w:rsidRPr="00872127">
        <w:t xml:space="preserve">showing that EHRs can be used to accurately predict diagnoses of depression among young adults. To this end, we obtained a large dataset of EHRs and trained new regression models following the methodology of Nichols et al. </w:t>
      </w:r>
      <w:r w:rsidR="00872127" w:rsidRPr="00872127">
        <w:fldChar w:fldCharType="begin"/>
      </w:r>
      <w:r w:rsidR="00872127" w:rsidRPr="00872127">
        <w:instrText xml:space="preserve"> ADDIN ZOTERO_ITEM CSL_CITATION {"citationID":"ckvXqRoS","properties":{"formattedCitation":"(48)","plainCitation":"(48)","noteIndex":0},"citationItems":[{"id":691,"uris":["http://zotero.org/users/5225066/items/69WFEGTJ"],"itemData":{"id":691,"type":"article-journal","abstract":"Background Approximately 80 000 children and young people in the UK suffer from depression, but many are untreated because of poor identification of early warning signs and risk factors. Aims This study aimed to derive and to investigate discrimination characteristics of a prediction model for a first recorded diagnosis of depression in young people aged 15–24 years. Method This study used a matched case–control method using electronic primary care records. Stepwise conditional logistic regression modelling investigated 42 potential predictors including symptoms, co-morbidities, social factors and drug and alcohol misuse. Results Of the socio-economic and symptomatic predictors identified, the strongest associations were with depression symptoms and other psychological conditions. School problems and social services involvement were prominent predictors in men aged 15–18 years, work stress in women aged 19–24 years. Conclusion Our model is a first step in the development of a predictive model identifying early warning signs of depression in young people in primary care.","container-title":"Early Intervention in Psychiatry","DOI":"10.1111/eip.12332","ISSN":"1751-7893","issue":"3","language":"en","license":"© 2016 John Wiley &amp; Sons Australia, Ltd","page":"444-455","source":"Wiley Online Library","title":"Derivation of a prediction model for a diagnosis of depression in young adults: a matched case–control study using electronic primary care records","title-short":"Derivation of a prediction model for a diagnosis of depression in young adults","volume":"12","author":[{"family":"Nichols","given":"Linda"},{"family":"Ryan","given":"Ronan"},{"family":"Connor","given":"Charlotte"},{"family":"Birchwood","given":"Max"},{"family":"Marshall","given":"Tom"}],"issued":{"date-parts":[["2018"]]}}}],"schema":"https://github.com/citation-style-language/schema/raw/master/csl-citation.json"} </w:instrText>
      </w:r>
      <w:r w:rsidR="00872127" w:rsidRPr="00872127">
        <w:fldChar w:fldCharType="separate"/>
      </w:r>
      <w:r w:rsidR="00872127" w:rsidRPr="00872127">
        <w:rPr>
          <w:rFonts w:ascii="Calibri" w:hAnsi="Calibri" w:cs="Calibri"/>
        </w:rPr>
        <w:t>(48)</w:t>
      </w:r>
      <w:r w:rsidR="00872127" w:rsidRPr="00872127">
        <w:fldChar w:fldCharType="end"/>
      </w:r>
      <w:r w:rsidR="0077520A" w:rsidRPr="00872127">
        <w:t xml:space="preserve">, </w:t>
      </w:r>
      <w:r w:rsidR="00872127" w:rsidRPr="00872127">
        <w:t>(</w:t>
      </w:r>
      <w:r w:rsidR="0077520A" w:rsidRPr="00872127">
        <w:t>referred to as NRCBM</w:t>
      </w:r>
      <w:r w:rsidR="00AA089B" w:rsidRPr="00872127">
        <w:t>). With some minor exceptions (which we elaborate on further on), we were able to perform the same analyses as NRCBM on a new</w:t>
      </w:r>
      <w:r w:rsidR="00CE409D" w:rsidRPr="00393AEC">
        <w:rPr>
          <w:color w:val="0070C0"/>
        </w:rPr>
        <w:t>er</w:t>
      </w:r>
      <w:r w:rsidR="00AA089B" w:rsidRPr="00872127">
        <w:t xml:space="preserve"> set of EHRs. Regardless of whether we fitted new models to our data, or whether we applied NRCBM’s models to make out-of-sample predictions, we found that model</w:t>
      </w:r>
      <w:r w:rsidR="001641A2" w:rsidRPr="00393AEC">
        <w:rPr>
          <w:color w:val="0070C0"/>
        </w:rPr>
        <w:t>s’</w:t>
      </w:r>
      <w:r w:rsidR="00AA089B" w:rsidRPr="00872127">
        <w:t xml:space="preserve"> accuracy</w:t>
      </w:r>
      <w:r w:rsidR="00AA089B" w:rsidRPr="00F6219E">
        <w:t xml:space="preserve"> was both high and comparable</w:t>
      </w:r>
      <w:r w:rsidR="00AA089B">
        <w:t xml:space="preserve"> with the previous work. </w:t>
      </w:r>
      <w:r w:rsidR="007435E5">
        <w:t xml:space="preserve">In addition, we were able to test the robustness of the original result by fitting alternative models to the data. While our efforts were successful, </w:t>
      </w:r>
      <w:proofErr w:type="gramStart"/>
      <w:r w:rsidR="007435E5">
        <w:t>a number of</w:t>
      </w:r>
      <w:proofErr w:type="gramEnd"/>
      <w:r w:rsidR="007435E5">
        <w:t xml:space="preserve"> issues and challenges emerged during our analysis. These issues are largely unspecific to the work of </w:t>
      </w:r>
      <w:r w:rsidR="00AC7414" w:rsidRPr="000E73DA">
        <w:t>NRCBM</w:t>
      </w:r>
      <w:r w:rsidR="007435E5">
        <w:t>, but rather reflect the general challenge posed by working with big healthcare data and ML tools. We discuss each challenge in turn.</w:t>
      </w:r>
    </w:p>
    <w:p w14:paraId="00B05279" w14:textId="7D993FDD" w:rsidR="0066484B" w:rsidRDefault="0066484B" w:rsidP="00764234">
      <w:r>
        <w:t xml:space="preserve">Our replication was possible because we were able to access a large set of EHRs, containing data from </w:t>
      </w:r>
      <w:r w:rsidRPr="0066484B">
        <w:t>over 350,000 individuals</w:t>
      </w:r>
      <w:r>
        <w:t xml:space="preserve">. These data, like the dataset obtained by NRCBM, are </w:t>
      </w:r>
      <w:r w:rsidR="00525991">
        <w:t xml:space="preserve">largely </w:t>
      </w:r>
      <w:r>
        <w:t>representative of the UK population</w:t>
      </w:r>
      <w:r w:rsidR="009E7521">
        <w:t>, which means that the results of</w:t>
      </w:r>
      <w:r>
        <w:t xml:space="preserve"> modelling are </w:t>
      </w:r>
      <w:r w:rsidRPr="0066484B">
        <w:t>suitab</w:t>
      </w:r>
      <w:r>
        <w:t>le</w:t>
      </w:r>
      <w:r w:rsidRPr="0066484B">
        <w:t xml:space="preserve"> for drawing conclusions </w:t>
      </w:r>
      <w:r>
        <w:t>about</w:t>
      </w:r>
      <w:r w:rsidRPr="0066484B">
        <w:t xml:space="preserve"> UK population.</w:t>
      </w:r>
      <w:r>
        <w:t xml:space="preserve"> </w:t>
      </w:r>
      <w:r w:rsidR="00E651FE">
        <w:t xml:space="preserve">In addition, </w:t>
      </w:r>
      <w:r w:rsidR="00B75E04">
        <w:t>we could avoid</w:t>
      </w:r>
      <w:r>
        <w:t xml:space="preserve"> </w:t>
      </w:r>
      <w:r w:rsidR="00B75E04">
        <w:t>any</w:t>
      </w:r>
      <w:r>
        <w:t xml:space="preserve"> overlap with the dataset used in the work we sought to replicate, which allowed us to perform appropriate out-of-sample tests. </w:t>
      </w:r>
      <w:r w:rsidR="004C77F2">
        <w:t xml:space="preserve">Yet, it </w:t>
      </w:r>
      <w:proofErr w:type="gramStart"/>
      <w:r w:rsidR="004C77F2">
        <w:t>has to</w:t>
      </w:r>
      <w:proofErr w:type="gramEnd"/>
      <w:r w:rsidR="004C77F2">
        <w:t xml:space="preserve"> be noted that the availability of similar datasets for other researchers can be highly restrictive. The </w:t>
      </w:r>
      <w:r w:rsidR="001A798B">
        <w:t xml:space="preserve">scope </w:t>
      </w:r>
      <w:r w:rsidR="004C77F2">
        <w:t>of the current dataset was constrained by the research budget (£1</w:t>
      </w:r>
      <w:r w:rsidR="005640B1">
        <w:t>7</w:t>
      </w:r>
      <w:r w:rsidR="004C77F2">
        <w:t xml:space="preserve">,000), which </w:t>
      </w:r>
      <w:r w:rsidR="001A798B">
        <w:t xml:space="preserve">for example, limited us to a </w:t>
      </w:r>
      <w:r w:rsidR="00801D84">
        <w:t xml:space="preserve">smaller </w:t>
      </w:r>
      <w:r w:rsidR="009D2BDF" w:rsidRPr="00393AEC">
        <w:rPr>
          <w:color w:val="0070C0"/>
        </w:rPr>
        <w:t>number of controls available for each case</w:t>
      </w:r>
      <w:r w:rsidR="004C77F2">
        <w:t xml:space="preserve">. </w:t>
      </w:r>
      <w:r w:rsidR="00867D41">
        <w:t xml:space="preserve">Although we were fortunate to have sufficient funds to replicate existing work of NRBCM, we were not able to obtain data necessary to </w:t>
      </w:r>
      <w:r w:rsidR="00B75E04">
        <w:t>replicate</w:t>
      </w:r>
      <w:r w:rsidR="001A798B">
        <w:t xml:space="preserve"> </w:t>
      </w:r>
      <w:r w:rsidR="00867D41">
        <w:t xml:space="preserve">the results of NRCBM on the </w:t>
      </w:r>
      <w:r w:rsidR="00867D41">
        <w:rPr>
          <w:i/>
        </w:rPr>
        <w:t xml:space="preserve">same </w:t>
      </w:r>
      <w:r w:rsidR="00867D41">
        <w:t>EHRs.</w:t>
      </w:r>
      <w:r w:rsidR="001A798B">
        <w:t xml:space="preserve"> Additionally, the restrictions on intellectual property and confidentiality</w:t>
      </w:r>
      <w:r w:rsidR="00867D41">
        <w:t xml:space="preserve"> </w:t>
      </w:r>
      <w:r w:rsidR="001A798B">
        <w:t xml:space="preserve">mean </w:t>
      </w:r>
      <w:r w:rsidR="00C229FC" w:rsidRPr="00393AEC">
        <w:rPr>
          <w:color w:val="0070C0"/>
        </w:rPr>
        <w:t xml:space="preserve">that </w:t>
      </w:r>
      <w:r w:rsidR="00762844" w:rsidRPr="00393AEC">
        <w:rPr>
          <w:color w:val="0070C0"/>
        </w:rPr>
        <w:t xml:space="preserve">these </w:t>
      </w:r>
      <w:r w:rsidR="001A798B">
        <w:t xml:space="preserve">data cannot be shared with other researchers. </w:t>
      </w:r>
      <w:r w:rsidR="00867D41">
        <w:t xml:space="preserve">We chose to obtain </w:t>
      </w:r>
      <w:r w:rsidR="00162A1D">
        <w:t xml:space="preserve">a </w:t>
      </w:r>
      <w:r w:rsidR="00867D41">
        <w:t>new</w:t>
      </w:r>
      <w:r w:rsidR="00162A1D">
        <w:t>er</w:t>
      </w:r>
      <w:r w:rsidR="00867D41">
        <w:t xml:space="preserve"> data largely due to the value of being able to </w:t>
      </w:r>
      <w:r w:rsidR="00867D41">
        <w:lastRenderedPageBreak/>
        <w:t>ma</w:t>
      </w:r>
      <w:r w:rsidR="006F7974">
        <w:t xml:space="preserve">ke out-of-sample predictions. Nonetheless, we note that most researchers (us included) would not have the resources to replicate other similar work simply due to resource limitations. </w:t>
      </w:r>
    </w:p>
    <w:p w14:paraId="56D185F1" w14:textId="56BCF10C" w:rsidR="001A798B" w:rsidRDefault="00FD2934" w:rsidP="00764234">
      <w:r w:rsidRPr="00393AEC">
        <w:rPr>
          <w:color w:val="0070C0"/>
        </w:rPr>
        <w:t xml:space="preserve">Whereas </w:t>
      </w:r>
      <w:r w:rsidR="00D47E88" w:rsidRPr="00393AEC">
        <w:rPr>
          <w:color w:val="0070C0"/>
        </w:rPr>
        <w:t xml:space="preserve"> we were able</w:t>
      </w:r>
      <w:r w:rsidRPr="00393AEC">
        <w:rPr>
          <w:color w:val="0070C0"/>
        </w:rPr>
        <w:t xml:space="preserve"> to obtain necessary EHRs from the THIN’s database, </w:t>
      </w:r>
      <w:r w:rsidR="00B25766" w:rsidRPr="00393AEC">
        <w:rPr>
          <w:color w:val="0070C0"/>
        </w:rPr>
        <w:t xml:space="preserve">we did not have access to the </w:t>
      </w:r>
      <w:r w:rsidR="006E1339" w:rsidRPr="00393AEC">
        <w:rPr>
          <w:color w:val="0070C0"/>
        </w:rPr>
        <w:t xml:space="preserve"> </w:t>
      </w:r>
      <w:r w:rsidR="004A2AD6" w:rsidRPr="00393AEC">
        <w:rPr>
          <w:color w:val="0070C0"/>
        </w:rPr>
        <w:t>NHS</w:t>
      </w:r>
      <w:r w:rsidR="004A2AD6">
        <w:t xml:space="preserve"> </w:t>
      </w:r>
      <w:r w:rsidR="006E1339">
        <w:t xml:space="preserve">Read code/drug </w:t>
      </w:r>
      <w:r w:rsidR="004A2AD6" w:rsidRPr="00393AEC">
        <w:rPr>
          <w:color w:val="0070C0"/>
        </w:rPr>
        <w:t xml:space="preserve">that </w:t>
      </w:r>
      <w:r w:rsidR="008F3397" w:rsidRPr="00393AEC">
        <w:rPr>
          <w:color w:val="0070C0"/>
        </w:rPr>
        <w:t xml:space="preserve">are </w:t>
      </w:r>
      <w:r w:rsidR="00B25766" w:rsidRPr="00393AEC">
        <w:rPr>
          <w:color w:val="0070C0"/>
        </w:rPr>
        <w:t xml:space="preserve">necessary </w:t>
      </w:r>
      <w:r w:rsidR="00A86FE9" w:rsidRPr="00393AEC">
        <w:rPr>
          <w:color w:val="0070C0"/>
        </w:rPr>
        <w:t>to define</w:t>
      </w:r>
      <w:r w:rsidR="0011183D" w:rsidRPr="00393AEC">
        <w:rPr>
          <w:color w:val="0070C0"/>
        </w:rPr>
        <w:t xml:space="preserve"> </w:t>
      </w:r>
      <w:r w:rsidR="0011183D">
        <w:t>each</w:t>
      </w:r>
      <w:r w:rsidR="006E1339">
        <w:t xml:space="preserve"> predictor</w:t>
      </w:r>
      <w:r w:rsidR="006E1339" w:rsidRPr="00393AEC">
        <w:rPr>
          <w:color w:val="0070C0"/>
        </w:rPr>
        <w:t xml:space="preserve">. </w:t>
      </w:r>
      <w:r w:rsidR="006227BE" w:rsidRPr="00393AEC">
        <w:rPr>
          <w:color w:val="0070C0"/>
        </w:rPr>
        <w:t>Fortunately, we were able to obtain these</w:t>
      </w:r>
      <w:r w:rsidR="006E1339">
        <w:t xml:space="preserve"> from the authors directly</w:t>
      </w:r>
      <w:r w:rsidR="00B75E04">
        <w:t xml:space="preserve">. If we were not able to access these, we would have much less confidence that our analysis and results </w:t>
      </w:r>
      <w:r w:rsidR="006227BE" w:rsidRPr="00393AEC">
        <w:rPr>
          <w:color w:val="0070C0"/>
        </w:rPr>
        <w:t xml:space="preserve">match </w:t>
      </w:r>
      <w:r w:rsidR="00B75E04">
        <w:t xml:space="preserve">those reported by NRCBM. It is therefore essential </w:t>
      </w:r>
      <w:r w:rsidR="006227BE" w:rsidRPr="00393AEC">
        <w:rPr>
          <w:color w:val="0070C0"/>
        </w:rPr>
        <w:t>precise definitions of</w:t>
      </w:r>
      <w:r w:rsidR="001D0AE5" w:rsidRPr="00393AEC">
        <w:rPr>
          <w:color w:val="0070C0"/>
        </w:rPr>
        <w:t xml:space="preserve"> each predictor</w:t>
      </w:r>
      <w:r w:rsidR="006E1339" w:rsidRPr="00393AEC">
        <w:rPr>
          <w:color w:val="0070C0"/>
        </w:rPr>
        <w:t xml:space="preserve"> </w:t>
      </w:r>
      <w:r w:rsidR="006E1339">
        <w:t xml:space="preserve">is included </w:t>
      </w:r>
      <w:r w:rsidR="00B75E04">
        <w:t xml:space="preserve">in other work that </w:t>
      </w:r>
      <w:r w:rsidR="001D0AE5" w:rsidRPr="00393AEC">
        <w:rPr>
          <w:color w:val="0070C0"/>
        </w:rPr>
        <w:t xml:space="preserve">relies on </w:t>
      </w:r>
      <w:r w:rsidR="00B75E04">
        <w:t>EHRs</w:t>
      </w:r>
      <w:r w:rsidR="006E1339">
        <w:t>.</w:t>
      </w:r>
    </w:p>
    <w:p w14:paraId="0A88A21E" w14:textId="5D93D927" w:rsidR="000C76F1" w:rsidRDefault="004D0267" w:rsidP="00764234">
      <w:r>
        <w:t xml:space="preserve">The key factor that can affect replicability of large data projects </w:t>
      </w:r>
      <w:r w:rsidR="001D0AE5" w:rsidRPr="00393AEC">
        <w:rPr>
          <w:color w:val="0070C0"/>
        </w:rPr>
        <w:t>is</w:t>
      </w:r>
      <w:r w:rsidR="001D0AE5">
        <w:t xml:space="preserve"> </w:t>
      </w:r>
      <w:r>
        <w:t>data exclusion. Following NRCBM, the first step in data preparation required removal of predictors with low (&lt;.02%) prevalence. Unlike NRCBM, we found that “sleep (too much)” had to be retained for analysis because of tenfold increase in its prevalence (from 0.03 to 0.3%). Still, considering that this represents merely a few hundred individuals, we conclude that the stability of predictor prevalence is relative</w:t>
      </w:r>
      <w:r w:rsidR="005640B1">
        <w:t>ly</w:t>
      </w:r>
      <w:r>
        <w:t xml:space="preserve"> high.</w:t>
      </w:r>
      <w:r w:rsidR="000C76F1">
        <w:t xml:space="preserve"> The second step of the analysis involved removal of predictors </w:t>
      </w:r>
      <w:proofErr w:type="gramStart"/>
      <w:r w:rsidR="000C76F1">
        <w:t>on the basis of</w:t>
      </w:r>
      <w:proofErr w:type="gramEnd"/>
      <w:r w:rsidR="000C76F1">
        <w:t xml:space="preserve"> the backwards stepwise logistic regression. </w:t>
      </w:r>
      <w:r w:rsidR="0077520A">
        <w:t>While we found an overall similar pattern</w:t>
      </w:r>
      <w:r w:rsidR="00552CD6">
        <w:t xml:space="preserve"> (lowest correlation between selected predictors</w:t>
      </w:r>
      <w:r w:rsidR="001666CB">
        <w:t xml:space="preserve"> </w:t>
      </w:r>
      <w:r w:rsidR="001666CB" w:rsidRPr="00393AEC">
        <w:rPr>
          <w:color w:val="0070C0"/>
        </w:rPr>
        <w:t>in NRCBM and our dataset</w:t>
      </w:r>
      <w:r w:rsidR="00552CD6" w:rsidRPr="00393AEC">
        <w:rPr>
          <w:color w:val="0070C0"/>
        </w:rPr>
        <w:t xml:space="preserve"> </w:t>
      </w:r>
      <w:r w:rsidR="008D718A" w:rsidRPr="00393AEC">
        <w:rPr>
          <w:color w:val="0070C0"/>
        </w:rPr>
        <w:t>wa</w:t>
      </w:r>
      <w:r w:rsidR="00FD5EC7" w:rsidRPr="00393AEC">
        <w:rPr>
          <w:color w:val="0070C0"/>
        </w:rPr>
        <w:t>s</w:t>
      </w:r>
      <w:r w:rsidR="008D718A" w:rsidRPr="00393AEC">
        <w:rPr>
          <w:color w:val="0070C0"/>
        </w:rPr>
        <w:t xml:space="preserve"> </w:t>
      </w:r>
      <w:r w:rsidR="0092439A">
        <w:t xml:space="preserve">0.39, </w:t>
      </w:r>
      <w:r w:rsidR="008D718A" w:rsidRPr="00393AEC">
        <w:rPr>
          <w:color w:val="0070C0"/>
        </w:rPr>
        <w:t xml:space="preserve">and the </w:t>
      </w:r>
      <w:r w:rsidR="0092439A">
        <w:t xml:space="preserve">highest </w:t>
      </w:r>
      <w:r w:rsidR="008D718A" w:rsidRPr="00393AEC">
        <w:rPr>
          <w:color w:val="0070C0"/>
        </w:rPr>
        <w:t>was</w:t>
      </w:r>
      <w:r w:rsidR="008D718A">
        <w:t xml:space="preserve"> </w:t>
      </w:r>
      <w:r w:rsidR="0092439A">
        <w:t>0.66</w:t>
      </w:r>
      <w:r w:rsidR="00552CD6">
        <w:t>)</w:t>
      </w:r>
      <w:r w:rsidR="0077520A">
        <w:t xml:space="preserve">, </w:t>
      </w:r>
      <w:r w:rsidR="00611411">
        <w:t xml:space="preserve">we </w:t>
      </w:r>
      <w:r w:rsidR="0077520A">
        <w:t xml:space="preserve">also </w:t>
      </w:r>
      <w:r w:rsidR="00611411">
        <w:t xml:space="preserve">found </w:t>
      </w:r>
      <w:r w:rsidR="0077520A">
        <w:t xml:space="preserve">important </w:t>
      </w:r>
      <w:r w:rsidR="00611411">
        <w:t>disparities from the original research</w:t>
      </w:r>
      <w:r w:rsidR="00552CD6">
        <w:t>.</w:t>
      </w:r>
      <w:r w:rsidR="00611411">
        <w:t xml:space="preserve"> These results support a widespread criticism of the stepwise procedures, especially in the context of large datasets with large sets of predictors</w:t>
      </w:r>
      <w:r w:rsidR="00BC66DB">
        <w:t xml:space="preserve"> </w:t>
      </w:r>
      <w:r w:rsidR="00BC66DB">
        <w:fldChar w:fldCharType="begin"/>
      </w:r>
      <w:r w:rsidR="00BC66DB">
        <w:instrText xml:space="preserve"> ADDIN ZOTERO_ITEM CSL_CITATION {"citationID":"mMSYNdHy","properties":{"formattedCitation":"(58)","plainCitation":"(58)","noteIndex":0},"citationItems":[{"id":1021,"uris":["http://zotero.org/users/5225066/items/FLJ4FWV4"],"itemData":{"id":1021,"type":"webpage","abstract":"This is crossposted from my statistics site: www.StatisticalAnalysisConsulting.com","container-title":"Medium","language":"en","title":"Stopping stepwise: Why stepwise selection is bad and what you should use instead","title-short":"Stopping stepwise","URL":"https://towardsdatascience.com/stopping-stepwise-why-stepwise-selection-is-bad-and-what-you-should-use-instead-90818b3f52df","author":[{"family":"Flom","given":"Peter"}],"accessed":{"date-parts":[["2021",9,9]]},"issued":{"date-parts":[["2018",12,11]]}}}],"schema":"https://github.com/citation-style-language/schema/raw/master/csl-citation.json"} </w:instrText>
      </w:r>
      <w:r w:rsidR="00BC66DB">
        <w:fldChar w:fldCharType="separate"/>
      </w:r>
      <w:r w:rsidR="00BC66DB" w:rsidRPr="00BC66DB">
        <w:rPr>
          <w:rFonts w:ascii="Calibri" w:hAnsi="Calibri" w:cs="Calibri"/>
        </w:rPr>
        <w:t>(58)</w:t>
      </w:r>
      <w:r w:rsidR="00BC66DB">
        <w:fldChar w:fldCharType="end"/>
      </w:r>
      <w:r w:rsidR="00A86FE9">
        <w:t>.</w:t>
      </w:r>
      <w:r w:rsidR="00611411">
        <w:t xml:space="preserve">  </w:t>
      </w:r>
      <w:r w:rsidR="004A0BD2">
        <w:t xml:space="preserve">With the popularity of regularized regression frameworks, it seems that there is little value </w:t>
      </w:r>
      <w:r w:rsidR="0012081C" w:rsidRPr="00393AEC">
        <w:rPr>
          <w:color w:val="0070C0"/>
        </w:rPr>
        <w:t>in relying</w:t>
      </w:r>
      <w:r w:rsidR="00B355AD" w:rsidRPr="00393AEC">
        <w:rPr>
          <w:color w:val="0070C0"/>
        </w:rPr>
        <w:t xml:space="preserve"> </w:t>
      </w:r>
      <w:r w:rsidR="004A0BD2">
        <w:t>on arbitrary thresholds for deciding which predictors to retain and which to remove.</w:t>
      </w:r>
    </w:p>
    <w:p w14:paraId="2389CA95" w14:textId="43CDA0AD" w:rsidR="00A14F89" w:rsidRDefault="00EB55A8" w:rsidP="00764234">
      <w:r>
        <w:t xml:space="preserve">Robustness of the original findings was determined using two methods. First, </w:t>
      </w:r>
      <w:r w:rsidRPr="000E73DA">
        <w:t>NRCBM reported an average AUC</w:t>
      </w:r>
      <w:r>
        <w:t xml:space="preserve"> across four groups of 0.712 (SD = 0.009).</w:t>
      </w:r>
      <w:r w:rsidRPr="000E73DA">
        <w:t xml:space="preserve"> For the replication the average AUC for </w:t>
      </w:r>
      <w:r>
        <w:t>the regression</w:t>
      </w:r>
      <w:r w:rsidRPr="000E73DA">
        <w:t xml:space="preserve"> using the backwards-stepwise selected predictors </w:t>
      </w:r>
      <w:r w:rsidRPr="00DC0C70">
        <w:t>was 0.88 (SD 0.004).</w:t>
      </w:r>
      <w:r w:rsidRPr="000E73DA">
        <w:t xml:space="preserve"> This is a </w:t>
      </w:r>
      <w:r>
        <w:t>considerable</w:t>
      </w:r>
      <w:r w:rsidRPr="000E73DA">
        <w:t xml:space="preserve"> </w:t>
      </w:r>
      <w:r>
        <w:t xml:space="preserve">and surprising </w:t>
      </w:r>
      <w:r w:rsidRPr="000E73DA">
        <w:t>improvement</w:t>
      </w:r>
      <w:r w:rsidR="006F7974">
        <w:t xml:space="preserve"> in model accuracy</w:t>
      </w:r>
      <w:r w:rsidRPr="000E73DA">
        <w:t xml:space="preserve">. </w:t>
      </w:r>
      <w:r>
        <w:t xml:space="preserve">Even more surprising is the fact that applying </w:t>
      </w:r>
      <w:r w:rsidR="00DA0346">
        <w:t xml:space="preserve">the </w:t>
      </w:r>
      <w:r>
        <w:t>model estimated by</w:t>
      </w:r>
      <w:r w:rsidRPr="000E73DA">
        <w:t xml:space="preserve"> NRCBM </w:t>
      </w:r>
      <w:r>
        <w:t xml:space="preserve">to our data also leads to an improvement in the average AUC (0.855, </w:t>
      </w:r>
      <w:r w:rsidRPr="000E73DA">
        <w:t xml:space="preserve">SD </w:t>
      </w:r>
      <w:r>
        <w:t xml:space="preserve">= </w:t>
      </w:r>
      <w:r w:rsidRPr="000E73DA">
        <w:t>0.012).</w:t>
      </w:r>
      <w:r w:rsidR="00B6014E">
        <w:t xml:space="preserve"> </w:t>
      </w:r>
      <w:r w:rsidR="003B65BA">
        <w:t xml:space="preserve">One possibility is that these results reflect the increased use of “low mood” </w:t>
      </w:r>
      <w:r w:rsidR="003B65BA">
        <w:lastRenderedPageBreak/>
        <w:t xml:space="preserve">in EHRs. Indeed, prevalence of low mood </w:t>
      </w:r>
      <w:r w:rsidR="007D0BA8">
        <w:t xml:space="preserve">was higher </w:t>
      </w:r>
      <w:r w:rsidR="003B65BA">
        <w:t>among cases in our data</w:t>
      </w:r>
      <w:r w:rsidR="007B32D0">
        <w:t>set</w:t>
      </w:r>
      <w:r w:rsidR="003B65BA">
        <w:t xml:space="preserve"> relative to the NRCBM’s sample </w:t>
      </w:r>
      <w:r w:rsidR="003B65BA" w:rsidRPr="00DC0C70">
        <w:t xml:space="preserve">(5.90 % in the </w:t>
      </w:r>
      <w:r w:rsidR="003B65BA" w:rsidRPr="008A3F3B">
        <w:t>NRCBM “case</w:t>
      </w:r>
      <w:r w:rsidR="00CA2FD9" w:rsidRPr="008A3F3B">
        <w:t>” dataset vs 25.73% in the new case</w:t>
      </w:r>
      <w:r w:rsidR="003B65BA" w:rsidRPr="008A3F3B">
        <w:t xml:space="preserve"> dataset</w:t>
      </w:r>
      <w:r w:rsidR="00CA2FD9" w:rsidRPr="008A3F3B">
        <w:t>, the respective values in the control</w:t>
      </w:r>
      <w:r w:rsidR="003B65BA" w:rsidRPr="008A3F3B">
        <w:t xml:space="preserve"> datasets were 0.84% and 0.77% respectively).</w:t>
      </w:r>
      <w:r w:rsidR="000B7D80" w:rsidRPr="008A3F3B">
        <w:t xml:space="preserve"> There is some evidence that the </w:t>
      </w:r>
      <w:r w:rsidR="00AA3022" w:rsidRPr="008A3F3B">
        <w:t>use</w:t>
      </w:r>
      <w:r w:rsidR="000B7D80" w:rsidRPr="008A3F3B">
        <w:t xml:space="preserve"> of low mood in EHRs changed over the years. First, there were changes to the contract for NHS primary care providers in 2006/7</w:t>
      </w:r>
      <w:r w:rsidR="00A13401">
        <w:t xml:space="preserve"> </w:t>
      </w:r>
      <w:r w:rsidR="00A13401">
        <w:fldChar w:fldCharType="begin"/>
      </w:r>
      <w:r w:rsidR="00A13401">
        <w:instrText xml:space="preserve"> ADDIN ZOTERO_ITEM CSL_CITATION {"citationID":"SgmDXik3","properties":{"formattedCitation":"(59)","plainCitation":"(59)","noteIndex":0},"citationItems":[{"id":7495,"uris":["http://zotero.org/users/5225066/items/6GQ55ZK7"],"itemData":{"id":7495,"type":"webpage","abstract":"This page provides an overview of the GP Contract","container-title":"Health","language":"en","title":"GP Contract Information and Contract Documents | Department of Health","URL":"https://www.health-ni.gov.uk/articles/gp-contract","accessed":{"date-parts":[["2023",9,13]]},"issued":{"date-parts":[["2015",10,19]]}}}],"schema":"https://github.com/citation-style-language/schema/raw/master/csl-citation.json"} </w:instrText>
      </w:r>
      <w:r w:rsidR="00A13401">
        <w:fldChar w:fldCharType="separate"/>
      </w:r>
      <w:r w:rsidR="00A13401" w:rsidRPr="00A13401">
        <w:rPr>
          <w:rFonts w:ascii="Calibri" w:hAnsi="Calibri" w:cs="Calibri"/>
        </w:rPr>
        <w:t>(59)</w:t>
      </w:r>
      <w:r w:rsidR="00A13401">
        <w:fldChar w:fldCharType="end"/>
      </w:r>
      <w:r w:rsidR="006F7974" w:rsidRPr="008A3F3B">
        <w:t>;</w:t>
      </w:r>
      <w:r w:rsidR="00E911D0" w:rsidRPr="008A3F3B">
        <w:t xml:space="preserve"> treatment of depression change</w:t>
      </w:r>
      <w:r w:rsidR="006F7974" w:rsidRPr="008A3F3B">
        <w:t>d</w:t>
      </w:r>
      <w:r w:rsidR="00E911D0" w:rsidRPr="008A3F3B">
        <w:t xml:space="preserve"> significantly in response to the</w:t>
      </w:r>
      <w:r w:rsidR="000B7D80" w:rsidRPr="008A3F3B">
        <w:t xml:space="preserve"> Quality Outcome Framework (QOF)</w:t>
      </w:r>
      <w:r w:rsidR="00E911D0" w:rsidRPr="008A3F3B">
        <w:t xml:space="preserve">, </w:t>
      </w:r>
      <w:r w:rsidR="006F7974" w:rsidRPr="008A3F3B">
        <w:t xml:space="preserve">and </w:t>
      </w:r>
      <w:r w:rsidR="008D5575">
        <w:t>guidelines</w:t>
      </w:r>
      <w:r w:rsidR="008D5575" w:rsidRPr="008A3F3B">
        <w:t xml:space="preserve"> </w:t>
      </w:r>
      <w:r w:rsidR="006F7974" w:rsidRPr="008A3F3B">
        <w:t>were</w:t>
      </w:r>
      <w:r w:rsidR="00E911D0" w:rsidRPr="008A3F3B">
        <w:t xml:space="preserve"> further </w:t>
      </w:r>
      <w:r w:rsidR="000B7D80" w:rsidRPr="008A3F3B">
        <w:t>updated in 2009</w:t>
      </w:r>
      <w:r w:rsidR="00DC16C4">
        <w:t xml:space="preserve"> </w:t>
      </w:r>
      <w:r w:rsidR="00DC16C4">
        <w:fldChar w:fldCharType="begin"/>
      </w:r>
      <w:r w:rsidR="00A13401">
        <w:instrText xml:space="preserve"> ADDIN ZOTERO_ITEM CSL_CITATION {"citationID":"VuY4W8fD","properties":{"formattedCitation":"(60)","plainCitation":"(60)","noteIndex":0},"citationItems":[{"id":6309,"uris":["http://zotero.org/users/5225066/items/B5RZ56AE"],"itemData":{"id":6309,"type":"webpage","abstract":"This guideline has been updated and replaced by NICE guideline on depression in adults: treatment and management (NG222)","language":"eng","note":"publisher: NICE","title":"Depression in adults: recognition and management | Guidance | NICE","title-short":"Depression in adults","URL":"https://www.nice.org.uk/guidance/cg90","accessed":{"date-parts":[["2023",2,20]]},"issued":{"date-parts":[["2009",10,28]]}}}],"schema":"https://github.com/citation-style-language/schema/raw/master/csl-citation.json"} </w:instrText>
      </w:r>
      <w:r w:rsidR="00DC16C4">
        <w:fldChar w:fldCharType="separate"/>
      </w:r>
      <w:r w:rsidR="00A13401" w:rsidRPr="00A13401">
        <w:rPr>
          <w:rFonts w:ascii="Calibri" w:hAnsi="Calibri" w:cs="Calibri"/>
        </w:rPr>
        <w:t>(60)</w:t>
      </w:r>
      <w:r w:rsidR="00DC16C4">
        <w:fldChar w:fldCharType="end"/>
      </w:r>
      <w:r w:rsidR="000B7D80" w:rsidRPr="008A3F3B">
        <w:t xml:space="preserve">, just ahead of the start date </w:t>
      </w:r>
      <w:r w:rsidR="006F7974" w:rsidRPr="008A3F3B">
        <w:t xml:space="preserve">in the replication dataset. </w:t>
      </w:r>
      <w:r w:rsidR="00C422D7" w:rsidRPr="008A3F3B">
        <w:t>How co</w:t>
      </w:r>
      <w:r w:rsidR="00AA3022" w:rsidRPr="008A3F3B">
        <w:t>u</w:t>
      </w:r>
      <w:r w:rsidR="00C422D7" w:rsidRPr="008A3F3B">
        <w:t>ld these changes influence the EHRs?</w:t>
      </w:r>
      <w:r w:rsidR="001945FC" w:rsidRPr="008A3F3B">
        <w:t xml:space="preserve"> One possibility is that, in some cases, </w:t>
      </w:r>
      <w:r w:rsidR="009F5120">
        <w:t>recording of</w:t>
      </w:r>
      <w:r w:rsidR="008428A9">
        <w:t xml:space="preserve"> </w:t>
      </w:r>
      <w:r w:rsidR="001945FC" w:rsidRPr="008A3F3B">
        <w:t>low mood</w:t>
      </w:r>
      <w:r w:rsidR="007B7BD3">
        <w:t xml:space="preserve"> by primary care </w:t>
      </w:r>
      <w:r w:rsidR="009F5120">
        <w:t>practitioner</w:t>
      </w:r>
      <w:r w:rsidR="007B7BD3">
        <w:t>s</w:t>
      </w:r>
      <w:r w:rsidR="001945FC" w:rsidRPr="008A3F3B">
        <w:t xml:space="preserve"> could have replaced initial diagnoses of depression. Consistent with this view, depression prevalence decreased shortly following the 2008 economic recession, which aligns with the time when practitioners</w:t>
      </w:r>
      <w:r w:rsidR="004E0767" w:rsidRPr="008A3F3B">
        <w:t xml:space="preserve"> were more likely to use </w:t>
      </w:r>
      <w:r w:rsidR="00CA2FD9" w:rsidRPr="008A3F3B">
        <w:t>l</w:t>
      </w:r>
      <w:r w:rsidR="004E0767" w:rsidRPr="008A3F3B">
        <w:t xml:space="preserve">ow </w:t>
      </w:r>
      <w:r w:rsidR="00CA2FD9" w:rsidRPr="008A3F3B">
        <w:t>m</w:t>
      </w:r>
      <w:r w:rsidR="004E0767" w:rsidRPr="008A3F3B">
        <w:t>ood as an initial</w:t>
      </w:r>
      <w:r w:rsidR="001945FC" w:rsidRPr="008A3F3B">
        <w:t xml:space="preserve"> diagnosis</w:t>
      </w:r>
      <w:r w:rsidR="004E0767" w:rsidRPr="008A3F3B">
        <w:t xml:space="preserve"> </w:t>
      </w:r>
      <w:r w:rsidR="001945FC" w:rsidRPr="008A3F3B">
        <w:t>(in response to the 2006 QOF update</w:t>
      </w:r>
      <w:r w:rsidR="00B33B4A">
        <w:t xml:space="preserve"> </w:t>
      </w:r>
      <w:r w:rsidR="00B33B4A">
        <w:fldChar w:fldCharType="begin"/>
      </w:r>
      <w:r w:rsidR="00A13401">
        <w:instrText xml:space="preserve"> ADDIN ZOTERO_ITEM CSL_CITATION {"citationID":"49x8Qk5C","properties":{"formattedCitation":"(61)","plainCitation":"(61)","noteIndex":0},"citationItems":[{"id":784,"uris":["http://zotero.org/users/5225066/items/EZYH79YS"],"itemData":{"id":784,"type":"article-journal","abstract":"Background\nDepression may be increasing, particularly since the economic recession. Introduction of quality outcomes framework (QOF) performance indicators may have altered GP recording of depression.\nMethods\nTime trend analyses of GP recording of depression before and after the recession (from April 2008), and the QOF (from April 2006) were conducted on anonymised consultation data from 142 English practices contributing to the Clinical Practice Research Datalink, April 2003–March 2013.\nResults\n293,596 patients had computer codes for depressive diagnoses or symptoms in the 10 years. Prevalence of depression codes fell from 44.6 (95% CI 44.2, 45.0) per 1000 person years at risk (PYAR) in 2003/2004 to 38.0 (37.7, 38.3) in 2008/2009, rising to 39.5 (39.2, 39.9) in 2012/2013. Incidence of first-ever depression codes fell from 11.9 (95% CI 11.7, 12.1) per 1000 PYAR in 2003/2004 to 9.5 (9.3, 9.7) in 2008/2009, rising to 10.0 (9.8, 10.2) in 2012/1203. Prevalence increased in men but not women following the recession, associated with increased unemployment. Following introduction of the QOF, GPs used more non-QOF-qualifying symptom or other codes than QOF-qualifying diagnostic codes for new episodes.\nLimitations\nClinical data recording is probably incomplete. Participating practices were relatively large and not representative across English regions.\nConclusions\nRates of recorded depression in English general practices were falling prior to the economic recession but increased again subsequently, among men, associated with increased unemployment. GPs responded to the QOF by switching from diagnostic to symptom codes, removing most depressed patients from the denominator for measuring GP performance in assessing depression.","container-title":"Journal of Affective Disorders","DOI":"10.1016/j.jad.2015.03.040","ISSN":"0165-0327","journalAbbreviation":"Journal of Affective Disorders","language":"en","page":"68-78","source":"ScienceDirect","title":"Changes in rates of recorded depression in English primary care 2003–2013: Time trend analyses of effects of the economic recession, and the GP contract quality outcomes framework (QOF)","title-short":"Changes in rates of recorded depression in English primary care 2003–2013","volume":"180","author":[{"family":"Kendrick","given":"Tony"},{"family":"Stuart","given":"Beth"},{"family":"Newell","given":"Colin"},{"family":"Geraghty","given":"Adam W. A."},{"family":"Moore","given":"Michael"}],"issued":{"date-parts":[["2015",7,15]]}}}],"schema":"https://github.com/citation-style-language/schema/raw/master/csl-citation.json"} </w:instrText>
      </w:r>
      <w:r w:rsidR="00B33B4A">
        <w:fldChar w:fldCharType="separate"/>
      </w:r>
      <w:r w:rsidR="00A13401" w:rsidRPr="00A13401">
        <w:rPr>
          <w:rFonts w:ascii="Calibri" w:hAnsi="Calibri" w:cs="Calibri"/>
        </w:rPr>
        <w:t>(61)</w:t>
      </w:r>
      <w:r w:rsidR="00B33B4A">
        <w:fldChar w:fldCharType="end"/>
      </w:r>
      <w:r w:rsidR="001945FC" w:rsidRPr="008A3F3B">
        <w:t>).</w:t>
      </w:r>
      <w:r w:rsidR="00A14F89" w:rsidRPr="008A3F3B">
        <w:t xml:space="preserve"> </w:t>
      </w:r>
      <w:r w:rsidR="00AA3022" w:rsidRPr="008A3F3B">
        <w:t xml:space="preserve"> </w:t>
      </w:r>
      <w:r w:rsidR="00AA255D" w:rsidRPr="008A3F3B">
        <w:t xml:space="preserve">Although largely speculative, there are two reasons why low mood could </w:t>
      </w:r>
      <w:r w:rsidR="00E23617">
        <w:t>have replaced</w:t>
      </w:r>
      <w:r w:rsidR="00AA255D" w:rsidRPr="008A3F3B">
        <w:t xml:space="preserve"> diagnoses of depression following the QOF update. First, </w:t>
      </w:r>
      <w:r w:rsidR="00AA3022" w:rsidRPr="008A3F3B">
        <w:t>although the QOF change was initially well received by practitioners</w:t>
      </w:r>
      <w:r w:rsidR="00CA2FD9" w:rsidRPr="008A3F3B">
        <w:t>,</w:t>
      </w:r>
      <w:r w:rsidR="00AA3022" w:rsidRPr="008A3F3B">
        <w:t xml:space="preserve"> </w:t>
      </w:r>
      <w:r w:rsidR="00AA255D" w:rsidRPr="008A3F3B">
        <w:t xml:space="preserve">the update put forward strict requirements on the timing for </w:t>
      </w:r>
      <w:r w:rsidR="00AA3022" w:rsidRPr="008A3F3B">
        <w:t xml:space="preserve">screening and severity assessments </w:t>
      </w:r>
      <w:r w:rsidR="00AA255D" w:rsidRPr="008A3F3B">
        <w:t xml:space="preserve">following a depression diagnoses. At the risk of </w:t>
      </w:r>
      <w:r w:rsidR="003D1676" w:rsidRPr="008A3F3B">
        <w:t>missing these targets, practitioners could be more motivated to rely on the low mood diagnosis i</w:t>
      </w:r>
      <w:r w:rsidR="003D1676" w:rsidRPr="00872127">
        <w:t>nstead</w:t>
      </w:r>
      <w:r w:rsidR="00872127" w:rsidRPr="00872127">
        <w:t xml:space="preserve"> </w:t>
      </w:r>
      <w:r w:rsidR="00872127" w:rsidRPr="00872127">
        <w:fldChar w:fldCharType="begin"/>
      </w:r>
      <w:r w:rsidR="00A13401">
        <w:instrText xml:space="preserve"> ADDIN ZOTERO_ITEM CSL_CITATION {"citationID":"Tp3XzWXt","properties":{"formattedCitation":"(62)","plainCitation":"(62)","noteIndex":0},"citationItems":[{"id":4438,"uris":["http://zotero.org/users/5225066/items/AJD6R2LP"],"itemData":{"id":4438,"type":"article-journal","abstract":"Background The National Institute for Health and clinical Excellence (NICE) depression guideline (2004) and the updated Quality and Outcomes Framework (QOF) ( 2006) in general practice have introduced the concepts of screening severity assessment, for example using the Patient Health Questionnaire 9 (PHQ-9), and ‘stepped care’ for depression.\nAim To explore primary care practitioner perspectives on the clinical utility of the NICE guideline and the impact of the QOF on diagnosis and management of depression in routine practice.\nDesign and setting Qualitative study using focus groups from four multidisciplinary practice teams with diverse populations in south Yorkshire.\nMethod Four focus groups were conducted, using a topic guide and audiotaping. There were 38 participants: GPs, nurses, doctors in training, mental health workers, and a manager. Data analysis was iterative and thematic.\nResults The NICE guideline, with its embedded principles of holism and evidence-based practice, was viewed positively but its impact was compromised by resource and practitioner barriers to implementation. The perceived imposition of the screening questions and severity assessments (PHQ-9) with no responsive training had required practitioners to work hard to minimise negative impacts on their work, for example: constantly adapting consultations to tick boxes; avoiding triggering open displays of distress without the time to offer appropriate care; positively managing how their patients were labelled. Further confusion was experienced around the evolving content of psychological interventions for depression.\nConclusion Organisational barriers to the implementation of the NICE guideline and the limited scope of the QOF highlight the need for policy makers to work more effectively with the complex realities of general practice in order to systematically improve the quality and delivery of ‘managed’ care for depression.","container-title":"British Journal of General Practice","DOI":"10.3399/bjgp11X572472","ISSN":"0960-1643, 1478-5242","issue":"586","journalAbbreviation":"Br J Gen Pract","language":"en","license":"© British Journal of General Practice, May 2011","note":"publisher: British Journal of General Practice\nsection: Research\nPMID: 21619752","page":"e279-e289","source":"bjgp.org","title":"Impact of the QOF and the NICE guideline in the diagnosis andmanagement of depression: a qualitative study","title-short":"Impact of the QOF and the NICE guideline in the diagnosis andmanagement of depression","volume":"61","author":[{"family":"Mitchell","given":"Caroline"},{"family":"Dwyer","given":"Rachel"},{"family":"Hagan","given":"Teresa"},{"family":"Mathers","given":"Nigel"}],"issued":{"date-parts":[["2011",5,1]]}}}],"schema":"https://github.com/citation-style-language/schema/raw/master/csl-citation.json"} </w:instrText>
      </w:r>
      <w:r w:rsidR="00872127" w:rsidRPr="00872127">
        <w:fldChar w:fldCharType="separate"/>
      </w:r>
      <w:r w:rsidR="00A13401" w:rsidRPr="00A13401">
        <w:rPr>
          <w:rFonts w:ascii="Calibri" w:hAnsi="Calibri" w:cs="Calibri"/>
        </w:rPr>
        <w:t>(62)</w:t>
      </w:r>
      <w:r w:rsidR="00872127" w:rsidRPr="00872127">
        <w:fldChar w:fldCharType="end"/>
      </w:r>
      <w:r w:rsidR="00AA3022" w:rsidRPr="00872127">
        <w:t xml:space="preserve">.  </w:t>
      </w:r>
      <w:r w:rsidR="003D1676" w:rsidRPr="00872127">
        <w:t>Second, and in a similar vein,</w:t>
      </w:r>
      <w:r w:rsidR="00AA3022" w:rsidRPr="00872127">
        <w:t xml:space="preserve"> </w:t>
      </w:r>
      <w:r w:rsidR="002256A5" w:rsidRPr="00872127">
        <w:t xml:space="preserve">a perceived </w:t>
      </w:r>
      <w:r w:rsidR="00AA3022" w:rsidRPr="00872127">
        <w:t>lack of resources</w:t>
      </w:r>
      <w:r w:rsidR="003D1676" w:rsidRPr="00872127">
        <w:t xml:space="preserve"> for providing necessary cognitive behavioural therapy could further encourage practitioners to opt for the low mood diagnosis</w:t>
      </w:r>
      <w:r w:rsidR="00AA3022" w:rsidRPr="008A3F3B">
        <w:t xml:space="preserve"> </w:t>
      </w:r>
      <w:r w:rsidR="00AA3022" w:rsidRPr="008A3F3B">
        <w:rPr>
          <w:rFonts w:ascii="Calibri" w:hAnsi="Calibri" w:cs="Calibri"/>
        </w:rPr>
        <w:fldChar w:fldCharType="begin"/>
      </w:r>
      <w:r w:rsidR="00A13401">
        <w:rPr>
          <w:rFonts w:ascii="Calibri" w:hAnsi="Calibri" w:cs="Calibri"/>
        </w:rPr>
        <w:instrText xml:space="preserve"> ADDIN ZOTERO_ITEM CSL_CITATION {"citationID":"yaeyT6Rx","properties":{"formattedCitation":"(63)","plainCitation":"(63)","noteIndex":0},"citationItems":[{"id":4434,"uris":["http://zotero.org/users/5225066/items/DYDTIDBA"],"itemData":{"id":4434,"type":"article-journal","abstract":"BackgroundGuidelines may improve clinical outcomes for depression, but whether they are followed in primary care is uncertain.AimTo assess general practioners (GPs’) adherence to the National Institute for Health and Clinical Excellence (NICE) guidelines for managing depression in adults (2004).Design of studyAnonymized Questionnaire Survey.SettingThirty-eight partnerships within one primary care trust in England.MethodFocused questionnaire incorporating measurable criteria, posted to GPs in May 2007.ResultsThe response rate was 67% (143/215 GPs). GPs followed NICE guidelines when screening for depression in patients with physical illness, using selective serotonin reuptake inhibitor antidepressants appropriately and referring to counselling and secondary care. However, 48% GPs did not screen patients with a history of depression, 44% discontinued medication too soon and 38% avoided prescribing for ‘understandable’ moderate depression. GPs identified poor access to cognitive behaviour therapy (CBT) as the greatest barrier to implementing guidelines. Only 41% personally used CBT. Adherence to NICE guidelines was significantly higher for GPs trained in psychiatry and in younger GPs, but was not associated with gender, practice size, possessing the Membership of the Royal College of General Practitioners or reading guidelines. Less than half (38%) of the GPs rated NICE as having a moderate or substantial impact upon their clinical management. The Quality and Outcomes Framework (QOF) had more influence than NICE guidelines upon detection and recording of care, especially in larger practices.ConclusionTraining more cognitive behaviour therapists, making psychiatry experience mandatory for future GPs and focusing QOF incentives upon treatment outcomes as well as screening may improve adherence to NICE depression guidelines.","container-title":"Primary Health Care Research &amp; Development","DOI":"10.1017/S1463423609990363","ISSN":"1477-1128, 1463-4236","issue":"2","language":"en","note":"publisher: Cambridge University Press","page":"123-131","source":"Cambridge University Press","title":"Do general practitioners adhere to NICE guidelines for depression? Systematic Questionnaire Survey","title-short":"Do general practitioners adhere to NICE guidelines for depression?","volume":"11","author":[{"family":"Toner","given":"Rachael"},{"family":"Snape","given":"Catherine"},{"family":"Acton","given":"Sheena"},{"family":"Blenkiron","given":"Paul"}],"issued":{"date-parts":[["2010",4]]}}}],"schema":"https://github.com/citation-style-language/schema/raw/master/csl-citation.json"} </w:instrText>
      </w:r>
      <w:r w:rsidR="00AA3022" w:rsidRPr="008A3F3B">
        <w:rPr>
          <w:rFonts w:ascii="Calibri" w:hAnsi="Calibri" w:cs="Calibri"/>
        </w:rPr>
        <w:fldChar w:fldCharType="separate"/>
      </w:r>
      <w:r w:rsidR="00A13401" w:rsidRPr="00A13401">
        <w:rPr>
          <w:rFonts w:ascii="Calibri" w:hAnsi="Calibri" w:cs="Calibri"/>
        </w:rPr>
        <w:t>(63)</w:t>
      </w:r>
      <w:r w:rsidR="00AA3022" w:rsidRPr="008A3F3B">
        <w:rPr>
          <w:rFonts w:ascii="Calibri" w:hAnsi="Calibri" w:cs="Calibri"/>
        </w:rPr>
        <w:fldChar w:fldCharType="end"/>
      </w:r>
      <w:r w:rsidR="00AA3022" w:rsidRPr="008A3F3B">
        <w:t>.</w:t>
      </w:r>
    </w:p>
    <w:p w14:paraId="35B50B72" w14:textId="09277F30" w:rsidR="00452FBB" w:rsidRPr="00393AEC" w:rsidRDefault="000E6787" w:rsidP="00FC58D5">
      <w:pPr>
        <w:rPr>
          <w:color w:val="0070C0"/>
        </w:rPr>
      </w:pPr>
      <w:r w:rsidRPr="00393AEC">
        <w:rPr>
          <w:color w:val="0070C0"/>
        </w:rPr>
        <w:t xml:space="preserve">Despite their popularity, applications of ML methods </w:t>
      </w:r>
      <w:r w:rsidR="003C4FE6" w:rsidRPr="00393AEC">
        <w:rPr>
          <w:color w:val="0070C0"/>
        </w:rPr>
        <w:t>to</w:t>
      </w:r>
      <w:r w:rsidRPr="00393AEC">
        <w:rPr>
          <w:color w:val="0070C0"/>
        </w:rPr>
        <w:t xml:space="preserve"> clinical data have been criticized for several reasons. One important </w:t>
      </w:r>
      <w:r w:rsidR="003C4FE6" w:rsidRPr="00393AEC">
        <w:rPr>
          <w:color w:val="0070C0"/>
        </w:rPr>
        <w:t xml:space="preserve">issue with many ML models is that </w:t>
      </w:r>
      <w:r w:rsidR="008B14C0" w:rsidRPr="00393AEC">
        <w:rPr>
          <w:color w:val="0070C0"/>
        </w:rPr>
        <w:t>they</w:t>
      </w:r>
      <w:r w:rsidR="003C4FE6" w:rsidRPr="00393AEC">
        <w:rPr>
          <w:color w:val="0070C0"/>
        </w:rPr>
        <w:t xml:space="preserve"> can be unstable</w:t>
      </w:r>
      <w:r w:rsidR="008B14C0" w:rsidRPr="00393AEC">
        <w:rPr>
          <w:color w:val="0070C0"/>
        </w:rPr>
        <w:t xml:space="preserve"> with respect to the variable selection, weights associated with </w:t>
      </w:r>
      <w:r w:rsidR="00A861A1" w:rsidRPr="00393AEC">
        <w:rPr>
          <w:color w:val="0070C0"/>
        </w:rPr>
        <w:t xml:space="preserve">each predictor, </w:t>
      </w:r>
      <w:r w:rsidR="00FC58D5" w:rsidRPr="00393AEC">
        <w:rPr>
          <w:color w:val="0070C0"/>
        </w:rPr>
        <w:t>or</w:t>
      </w:r>
      <w:r w:rsidR="00A861A1" w:rsidRPr="00393AEC">
        <w:rPr>
          <w:color w:val="0070C0"/>
        </w:rPr>
        <w:t xml:space="preserve"> the </w:t>
      </w:r>
      <w:r w:rsidR="008531F6" w:rsidRPr="00393AEC">
        <w:rPr>
          <w:color w:val="0070C0"/>
        </w:rPr>
        <w:t>models’ performance</w:t>
      </w:r>
      <w:r w:rsidR="00A861A1" w:rsidRPr="00393AEC">
        <w:rPr>
          <w:color w:val="0070C0"/>
        </w:rPr>
        <w:t xml:space="preserve"> (both on the aggregate and individual level) </w:t>
      </w:r>
      <w:r w:rsidR="003E1F4D">
        <w:fldChar w:fldCharType="begin"/>
      </w:r>
      <w:r w:rsidR="00A13401">
        <w:instrText xml:space="preserve"> ADDIN ZOTERO_ITEM CSL_CITATION {"citationID":"ZtBLTra1","properties":{"formattedCitation":"(64)","plainCitation":"(64)","noteIndex":0},"citationItems":[{"id":7129,"uris":["http://zotero.org/users/5225066/items/6NXR4SMP"],"itemData":{"id":7129,"type":"article-journal","abstract":"Clinical prediction models estimate an individual's risk of a particular health outcome. A developed model is a consequence of the development dataset and model-building strategy, including the sample size, number of predictors, and analysis method (e.g., regression or machine learning). We raise the concern that many models are developed using small datasets that lead to instability in the model and its predictions (estimated risks). We define four levels of model stability in estimated risks moving from the overall mean to the individual level. Through simulation and case studies of statistical and machine learning approaches, we show instability in a model's estimated risks is often considerable, and ultimately manifests itself as miscalibration of predictions in new data. Therefore, we recommend researchers always examine instability at the model development stage and propose instability plots and measures to do so. This entails repeating the model-building steps (those used to develop the original prediction model) in each of multiple (e.g., 1000) bootstrap samples, to produce multiple bootstrap models, and deriving (i) a prediction instability plot of bootstrap model versus original model predictions; (ii) the mean absolute prediction error (mean absolute difference between individuals’ original and bootstrap model predictions), and (iii) calibration, classification, and decision curve instability plots of bootstrap models applied in the original sample. A case study illustrates how these instability assessments help reassure (or not) whether model predictions are likely to be reliable (or not), while informing a model's critical appraisal (risk of bias rating), fairness, and further validation requirements.","container-title":"Biometrical Journal","DOI":"10.1002/bimj.202200302","ISSN":"1521-4036","issue":"n/a","language":"en","license":"© 2023 The Authors. Biometrical Journal published by Wiley-VCH GmbH.","note":"_eprint: https://onlinelibrary.wiley.com/doi/pdf/10.1002/bimj.202200302","page":"2200302","source":"Wiley Online Library","title":"Stability of clinical prediction models developed using statistical or machine learning methods","volume":"n/a","author":[{"family":"Riley","given":"Richard D."},{"family":"Collins","given":"Gary S."}]}}],"schema":"https://github.com/citation-style-language/schema/raw/master/csl-citation.json"} </w:instrText>
      </w:r>
      <w:r w:rsidR="003E1F4D">
        <w:fldChar w:fldCharType="separate"/>
      </w:r>
      <w:r w:rsidR="00A13401" w:rsidRPr="00A13401">
        <w:rPr>
          <w:rFonts w:ascii="Calibri" w:hAnsi="Calibri" w:cs="Calibri"/>
        </w:rPr>
        <w:t>(64)</w:t>
      </w:r>
      <w:r w:rsidR="003E1F4D">
        <w:fldChar w:fldCharType="end"/>
      </w:r>
      <w:r w:rsidR="00A861A1">
        <w:t>.</w:t>
      </w:r>
      <w:r w:rsidR="008531F6">
        <w:t xml:space="preserve"> </w:t>
      </w:r>
      <w:r w:rsidR="008531F6" w:rsidRPr="00393AEC">
        <w:rPr>
          <w:color w:val="0070C0"/>
        </w:rPr>
        <w:t>Although there are many reasons why models could be unreliable, a common</w:t>
      </w:r>
      <w:r w:rsidR="00F65167" w:rsidRPr="00393AEC">
        <w:rPr>
          <w:color w:val="0070C0"/>
        </w:rPr>
        <w:t xml:space="preserve"> issue is insufficient amount of data</w:t>
      </w:r>
      <w:r w:rsidR="002E33AA" w:rsidRPr="00393AEC">
        <w:rPr>
          <w:color w:val="0070C0"/>
        </w:rPr>
        <w:t xml:space="preserve"> –</w:t>
      </w:r>
      <w:r w:rsidR="00F65167" w:rsidRPr="00393AEC">
        <w:rPr>
          <w:color w:val="0070C0"/>
        </w:rPr>
        <w:t xml:space="preserve"> a problem that is particularly</w:t>
      </w:r>
      <w:r w:rsidR="00547AF8" w:rsidRPr="00393AEC">
        <w:rPr>
          <w:color w:val="0070C0"/>
        </w:rPr>
        <w:t xml:space="preserve"> relevant for the modern classification methods </w:t>
      </w:r>
      <w:r w:rsidR="00936AF8">
        <w:fldChar w:fldCharType="begin"/>
      </w:r>
      <w:r w:rsidR="00A13401">
        <w:instrText xml:space="preserve"> ADDIN ZOTERO_ITEM CSL_CITATION {"citationID":"s2wSgQDj","properties":{"formattedCitation":"(65)","plainCitation":"(65)","noteIndex":0},"citationItems":[{"id":7484,"uris":["http://zotero.org/users/5225066/items/8D8RRBFI"],"itemData":{"id":7484,"type":"article-journal","abstract":"Modern modelling techniques may potentially provide more accurate predictions of binary outcomes than classical techniques. We aimed to study the predictive performance of different modelling techniques in relation to the effective sample size (“data hungriness”).","container-title":"BMC Medical Research Methodology","DOI":"10.1186/1471-2288-14-137","ISSN":"1471-2288","issue":"1","journalAbbreviation":"BMC Medical Research Methodology","page":"137","source":"BioMed Central","title":"Modern modelling techniques are data hungry: a simulation study for predicting dichotomous endpoints","title-short":"Modern modelling techniques are data hungry","volume":"14","author":[{"family":"Ploeg","given":"Tjeerd","non-dropping-particle":"van der"},{"family":"Austin","given":"Peter C."},{"family":"Steyerberg","given":"Ewout W."}],"issued":{"date-parts":[["2014",12,22]]}}}],"schema":"https://github.com/citation-style-language/schema/raw/master/csl-citation.json"} </w:instrText>
      </w:r>
      <w:r w:rsidR="00936AF8">
        <w:fldChar w:fldCharType="separate"/>
      </w:r>
      <w:r w:rsidR="00A13401" w:rsidRPr="00A13401">
        <w:rPr>
          <w:rFonts w:ascii="Calibri" w:hAnsi="Calibri" w:cs="Calibri"/>
        </w:rPr>
        <w:t>(65)</w:t>
      </w:r>
      <w:r w:rsidR="00936AF8">
        <w:fldChar w:fldCharType="end"/>
      </w:r>
      <w:r w:rsidR="00B355AD">
        <w:t xml:space="preserve">. </w:t>
      </w:r>
      <w:r w:rsidR="00B355AD" w:rsidRPr="00393AEC">
        <w:rPr>
          <w:color w:val="0070C0"/>
        </w:rPr>
        <w:t xml:space="preserve">Nonetheless, we doubt that that this issue applies to the present work (or to the work of NRCBM) on account of a very large sample sizes used (minimum </w:t>
      </w:r>
      <w:r w:rsidR="00B355AD" w:rsidRPr="00393AEC">
        <w:rPr>
          <w:color w:val="0070C0"/>
        </w:rPr>
        <w:lastRenderedPageBreak/>
        <w:t xml:space="preserve">group size of </w:t>
      </w:r>
      <w:r w:rsidR="000B4114" w:rsidRPr="00393AEC">
        <w:rPr>
          <w:color w:val="0070C0"/>
        </w:rPr>
        <w:t>28279</w:t>
      </w:r>
      <w:r w:rsidR="00B355AD" w:rsidRPr="00393AEC">
        <w:rPr>
          <w:color w:val="0070C0"/>
        </w:rPr>
        <w:t xml:space="preserve">). These sample sizes are large enough to minimize the error that can occur if either the number of observations (cases and controls) is low, or due to sparse number of events per predictor (e.g., very low number of people with anxiety or diabetes). In addition, it is notable that the results in the present paper are not only consistent with the LRs reported by </w:t>
      </w:r>
      <w:proofErr w:type="gramStart"/>
      <w:r w:rsidR="00B355AD" w:rsidRPr="00393AEC">
        <w:rPr>
          <w:color w:val="0070C0"/>
        </w:rPr>
        <w:t>NRCBM, but</w:t>
      </w:r>
      <w:proofErr w:type="gramEnd"/>
      <w:r w:rsidR="00B355AD" w:rsidRPr="00393AEC">
        <w:rPr>
          <w:color w:val="0070C0"/>
        </w:rPr>
        <w:t xml:space="preserve"> are also consistent across many diverse ML techniques that were used. Still, future work should consider both the replicability and stability of ML applications in clinical settings.</w:t>
      </w:r>
    </w:p>
    <w:p w14:paraId="235289A2" w14:textId="251D726C" w:rsidR="005925EC" w:rsidRPr="000E73DA" w:rsidRDefault="00A6535D" w:rsidP="00764234">
      <w:r w:rsidRPr="00F2634B">
        <w:t>One limitation of the present (and previous)</w:t>
      </w:r>
      <w:r w:rsidR="00E55C1E" w:rsidRPr="00F2634B">
        <w:t xml:space="preserve"> study</w:t>
      </w:r>
      <w:r w:rsidR="00205254" w:rsidRPr="00F2634B">
        <w:t xml:space="preserve"> is the </w:t>
      </w:r>
      <w:r w:rsidR="008A3F3B" w:rsidRPr="00F2634B">
        <w:t xml:space="preserve">operationalization of </w:t>
      </w:r>
      <w:r w:rsidR="00205254" w:rsidRPr="00F2634B">
        <w:t>depression</w:t>
      </w:r>
      <w:r w:rsidRPr="00F2634B">
        <w:t>.</w:t>
      </w:r>
      <w:r w:rsidR="005925EC" w:rsidRPr="00F2634B">
        <w:t xml:space="preserve"> To select the </w:t>
      </w:r>
      <w:r w:rsidR="00E80AAE" w:rsidRPr="00F2634B">
        <w:t>cases from the</w:t>
      </w:r>
      <w:r w:rsidR="005925EC" w:rsidRPr="00F2634B">
        <w:t xml:space="preserve"> THIN database</w:t>
      </w:r>
      <w:r w:rsidR="00E80AAE" w:rsidRPr="00F2634B">
        <w:t>,</w:t>
      </w:r>
      <w:r w:rsidR="005925EC" w:rsidRPr="00F2634B">
        <w:t xml:space="preserve"> NRCBM used a combination of diagnostic NHS Read codes or prescription of antidepressant drugs. This is a widely used </w:t>
      </w:r>
      <w:r w:rsidR="00870C10" w:rsidRPr="00F2634B">
        <w:t>method</w:t>
      </w:r>
      <w:r w:rsidR="00F2634B" w:rsidRPr="00F2634B">
        <w:t xml:space="preserve">, </w:t>
      </w:r>
      <w:r w:rsidR="00870C10" w:rsidRPr="00F2634B">
        <w:t>see</w:t>
      </w:r>
      <w:r w:rsidR="00F2634B" w:rsidRPr="00F2634B">
        <w:t xml:space="preserve"> e.g., </w:t>
      </w:r>
      <w:r w:rsidR="00F2634B" w:rsidRPr="00F2634B">
        <w:fldChar w:fldCharType="begin"/>
      </w:r>
      <w:r w:rsidR="00A13401">
        <w:instrText xml:space="preserve"> ADDIN ZOTERO_ITEM CSL_CITATION {"citationID":"hhKx0AvO","properties":{"formattedCitation":"(66)","plainCitation":"(66)","noteIndex":0},"citationItems":[{"id":4854,"uris":["http://zotero.org/users/5225066/items/PZVXU5SN"],"itemData":{"id":4854,"type":"article-journal","abstract":"Background\nDespite being common and having long lasting effects, mental health problems in children are often under-recognised and under-treated. Improving early identification is important in order to provide adequate, timely treatment. We aimed to develop prediction models for the one-year risk of a first recorded mental health problem in children attending primary care.\nMethods\nWe carried out a population-based cohort study based on readily available routine healthcare data anonymously extracted from electronic medical records of 76 general practice centers in the Leiden area, the Netherlands. We included all patients aged 1–19 years on 31 December 2016 without prior mental health problems. Multilevel logistic regression analyses were used to predict the one-year risk of a first recorded mental health problem. Potential predictors were characteristics related to the child, family and healthcare use. Model performance was assessed by examining measures of discrimination and calibration.\nFindings\nData from 70,000 children were available. A mental health problem was recorded in 27•7% of patients during the period 2007–2017. Age independent predictors were somatic complaints, more than two GP visits in the previous year, one or more laboratory test and one or more referral/contact with other healthcare professional in the previous year. Other predictors and their effects differed between age groups. Model performance was moderate (c-statistic 0.62–0.63), while model calibration was good.\nInterpretation\nThis study is a first promising step towards developing prediction models for identifying children at risk of a first mental health problem to support primary care practice by using routine healthcare data. Data enrichment from other available sources regarding e.g. school performance and family history could improve model performance. Further research is needed to externally validate our models and to establish whether we are able to improve under-recognition of mental health problems.","container-title":"EClinicalMedicine","DOI":"10.1016/j.eclinm.2019.09.007","ISSN":"2589-5370","journalAbbreviation":"EClinicalMedicine","language":"en","page":"89-97","source":"ScienceDirect","title":"Identification of children at risk for mental health problems in primary care—Development of a prediction model with routine health care data","volume":"15","author":[{"family":"Koning","given":"Nynke R."},{"family":"Büchner","given":"Frederike L."},{"family":"Vermeiren","given":"Robert R. J. M."},{"family":"Crone","given":"Mathilde R."},{"family":"Numans","given":"Mattijs E."}],"issued":{"date-parts":[["2019",10,1]]}}}],"schema":"https://github.com/citation-style-language/schema/raw/master/csl-citation.json"} </w:instrText>
      </w:r>
      <w:r w:rsidR="00F2634B" w:rsidRPr="00F2634B">
        <w:fldChar w:fldCharType="separate"/>
      </w:r>
      <w:r w:rsidR="00A13401" w:rsidRPr="00A13401">
        <w:rPr>
          <w:rFonts w:ascii="Calibri" w:hAnsi="Calibri" w:cs="Calibri"/>
        </w:rPr>
        <w:t>(66)</w:t>
      </w:r>
      <w:r w:rsidR="00F2634B" w:rsidRPr="00F2634B">
        <w:fldChar w:fldCharType="end"/>
      </w:r>
      <w:r w:rsidR="00F2634B" w:rsidRPr="00F2634B">
        <w:t xml:space="preserve">, </w:t>
      </w:r>
      <w:r w:rsidR="005925EC" w:rsidRPr="00F2634B">
        <w:t xml:space="preserve">but </w:t>
      </w:r>
      <w:r w:rsidR="00E62814" w:rsidRPr="00F2634B">
        <w:t xml:space="preserve">it </w:t>
      </w:r>
      <w:r w:rsidR="005925EC" w:rsidRPr="00F2634B">
        <w:t>may be</w:t>
      </w:r>
      <w:r w:rsidR="005925EC" w:rsidRPr="000E73DA">
        <w:t xml:space="preserve"> too wide in scope; antidepressant drugs are also prescribed for other disorders including those with chronic pain </w:t>
      </w:r>
      <w:r w:rsidR="00F73E27">
        <w:fldChar w:fldCharType="begin"/>
      </w:r>
      <w:r w:rsidR="00A13401">
        <w:instrText xml:space="preserve"> ADDIN ZOTERO_ITEM CSL_CITATION {"citationID":"BZcDXV0U","properties":{"formattedCitation":"(67,68)","plainCitation":"(67,68)","noteIndex":0},"citationItems":[{"id":1064,"uris":["http://zotero.org/users/5225066/items/YLII98E3"],"itemData":{"id":1064,"type":"article-journal","abstract":"There is significant overlap in the pharmacological management of pain and psychological disorders. Appropriate treatment of patients' comorbid psychological disorders, including sleep disturbances often leads to an improvement in reported pain intensity. The three first line agents for neuropathic pain include tricyclic antidepressants and serotonin norepinephrine reuptake inhibitors which are medications originally developed as antidepressants. The other first line medication for chronic neuropathic pain are anticonvulsant medications initially brought to the market-place for the treatment of epilepsy and are also now being used for the treatment of anxiety disorders and substance withdrawal symptoms. The efficacy of opioids for chronic pain is contentious, but it is agreed that the patients at highest risk for opioid misuse and addiction are patients with underlying psychological disorders who use opioids for their euphoric effects. Similarly, benzodiazepines may present a problem in patients with chronic pain, as up to one third of patients with pain are concomitantly prescribed benzodiazepines, and when combined with other sedating analgesic medications they put patients at increased risk for adverse events and polysubstance misuse. Finally, there is growing evidence for the efficacy of cannabis for treating neuropathic pain, but the consumption of cannabis has been associated with increased risk of psychosis in adolescents, and may be associated with an increased risk for developing bipolar disorder and anxiety disorders. The use of cannabis is associated with an increased risk of substance misuse in both adolescents and adults. In this narrative review, we examine the evidence for the use of several medications used for the treatment of both pain and psychological disorders, and their proposed mechanisms of action, in addition to special concerns for patients with comorbid pain and psychological disorders.","collection-title":"Chronic Pain and Psychiatric Disorders","container-title":"Progress in Neuro-Psychopharmacology and Biological Psychiatry","DOI":"10.1016/j.pnpbp.2018.07.017","ISSN":"0278-5846","journalAbbreviation":"Progress in Neuro-Psychopharmacology and Biological Psychiatry","language":"en","page":"290-297","source":"ScienceDirect","title":"Overlaps in pharmacology for the treatment of chronic pain and mental health disorders","volume":"87","author":[{"family":"Sutherland","given":"Ainsley M."},{"family":"Nicholls","given":"Judith"},{"family":"Bao","given":"James"},{"family":"Clarke","given":"Hance"}],"issued":{"date-parts":[["2018",12,20]]}}},{"id":1073,"uris":["http://zotero.org/users/5225066/items/YE38WLL8"],"itemData":{"id":1073,"type":"article-journal","abstract":"While clinicians have been using antidepressants for off-label indications in the treatment of chronic pain in recent years, newer studies have proven effectiveness and provided additional mechanistic understanding and defined potential adverse effects. As depression and chronic pain are frequently comorbid conditions, the use of antidepressants has allowed for treatment of both conditions concomitantly in the same patient population.","container-title":"Current Pain and Headache Reports","DOI":"10.1007/s11916-019-0803-z","ISSN":"1534-3081","issue":"9","journalAbbreviation":"Curr Pain Headache Rep","language":"en","page":"66","source":"Springer Link","title":"Off-label Antidepressant Use for Treatment and Management of Chronic Pain: Evolving Understanding and Comprehensive Review","title-short":"Off-label Antidepressant Use for Treatment and Management of Chronic Pain","volume":"23","author":[{"family":"Urits","given":"Ivan"},{"family":"Peck","given":"Jacquelin"},{"family":"Orhurhu","given":"Mariam Salisu"},{"family":"Wolf","given":"John"},{"family":"Patel","given":"Riki"},{"family":"Orhurhu","given":"Vwaire"},{"family":"Kaye","given":"Alan D."},{"family":"Viswanath","given":"Omar"}],"issued":{"date-parts":[["2019",7,29]]}}}],"schema":"https://github.com/citation-style-language/schema/raw/master/csl-citation.json"} </w:instrText>
      </w:r>
      <w:r w:rsidR="00F73E27">
        <w:fldChar w:fldCharType="separate"/>
      </w:r>
      <w:r w:rsidR="00A13401" w:rsidRPr="00A13401">
        <w:rPr>
          <w:rFonts w:ascii="Calibri" w:hAnsi="Calibri" w:cs="Calibri"/>
        </w:rPr>
        <w:t>(67,68)</w:t>
      </w:r>
      <w:r w:rsidR="00F73E27">
        <w:fldChar w:fldCharType="end"/>
      </w:r>
      <w:r w:rsidR="005925EC" w:rsidRPr="000E73DA">
        <w:t xml:space="preserve">, OCD </w:t>
      </w:r>
      <w:r w:rsidR="00F73E27">
        <w:fldChar w:fldCharType="begin"/>
      </w:r>
      <w:r w:rsidR="00A13401">
        <w:instrText xml:space="preserve"> ADDIN ZOTERO_ITEM CSL_CITATION {"citationID":"fV678oUi","properties":{"formattedCitation":"(69,70)","plainCitation":"(69,70)","noteIndex":0},"citationItems":[{"id":1071,"uris":["http://zotero.org/users/5225066/items/45N4W9GL"],"itemData":{"id":1071,"type":"article-journal","abstract":"Objective The objective of this study was to characterise international trends in the use of psychotropic medication, psychological therapies, and novel therapies used to treat obsessive–compulsive disorder (OCD). Methods Researchers in the field of OCD were invited to contribute summary statistics on the characteristics of their samples. Consistency of summary statistics across countries was evaluated. Results The study surveyed 19 expert centres from 15 countries (Argentina, Australia, Brazil, China, Germany, Greece, India, Italy, Japan, Mexico, Portugal, South Africa, Spain, the United Kingdom, and the United States) providing a total sample of 7,340 participants. Fluoxetine (n = 972; 13.2%) and fluvoxamine (n = 913; 12.4%) were the most commonly used selective serotonin reuptake inhibitor medications. Risperidone (n = 428; 7.3%) and aripiprazole (n = 415; 7.1%) were the most commonly used antipsychotic agents. Neurostimulation techniques such as transcranial magnetic stimulation, deep brain stimulation, gamma knife surgery, and psychosurgery were used in less than 1% of the sample. There was significant variation in the use and accessibility of exposure and response prevention for OCD. Conclusions The variation between countries in treatments used for OCD needs further evaluation. Exposure and response prevention is not used as frequently as guidelines suggest and appears difficult to access in most countries. Updated treatment guidelines are recommended.","container-title":"Human Psychopharmacology: Clinical and Experimental","DOI":"10.1002/hup.2686","ISSN":"1099-1077","issue":"1","language":"en","note":"_eprint: https://onlinelibrary.wiley.com/doi/pdf/10.1002/hup.2686","page":"e2686","source":"Wiley Online Library","title":"Treatments used for obsessive–compulsive disorder—An international perspective","volume":"34","author":[{"family":"Brakoulias","given":"Vlasios"},{"family":"Starcevic","given":"Vladan"},{"family":"Albert","given":"Umberto"},{"family":"Arumugham","given":"Shyam Sundar"},{"family":"Bailey","given":"Brenda E."},{"family":"Belloch","given":"Amparo"},{"family":"Borda","given":"Tania"},{"family":"Dell'Osso","given":"Liliana"},{"family":"Elias","given":"Jason A."},{"family":"Falkenstein","given":"Martha J."},{"family":"Ferrao","given":"Ygor A."},{"family":"Fontenelle","given":"Leonardo F."},{"family":"Jelinek","given":"Lena"},{"family":"Kalogeraki","given":"Leto"},{"family":"Kay","given":"Brian"},{"family":"Laurito","given":"Luana D."},{"family":"Lochner","given":"Christine"},{"family":"Maina","given":"Giuseppe"},{"family":"Marazziti","given":"Donatella"},{"family":"Martin","given":"Andrew"},{"family":"Matsunaga","given":"Hisato"},{"family":"Miguel","given":"Euripedes C."},{"family":"Morgado","given":"Pedro"},{"family":"Mourikis","given":"Irakis"},{"family":"Pasquini","given":"Massimo"},{"family":"Perez Rivera","given":"Rodrigo"},{"family":"Potluri","given":"Sriramya"},{"family":"Reddy","given":"Janardhan Y.C."},{"family":"Riemann","given":"Brian C."},{"family":"Rosario","given":"Maria Conceição","non-dropping-particle":"do"},{"family":"Shavitt","given":"Roseli G."},{"family":"Stein","given":"Dan J."},{"family":"Viswasam","given":"Kirupumani"},{"family":"Wang","given":"Zhen"},{"family":"Fineberg","given":"Naomi A."}],"issued":{"date-parts":[["2019"]]}}},{"id":1066,"uris":["http://zotero.org/users/5225066/items/YEE9ZARY"],"itemData":{"id":1066,"type":"article-journal","abstract":"Background: Obsessive-compulsive disorder (OCD) is associated with affective and cognitive symptoms causing personal distress and reduced global functioning. These have considerable societal costs due to healthcare service utilization. Objective: Our aim was to assess the efficacy\nof pharmacological interventions in OCD and clinical guidelines, providing a comprehensive overview of this field. Methods: We searched the PubMed database for papers dealing with drug treatment of OCD, with a specific focus on clinical guidelines, treatments with antidepressants, antipsychotics,\nmood stabilizers, off-label medications, and pharmacogenomics. Results: Prolonged administration of selective serotonin reuptake inhibitors (SSRIs) is most effective. Better results can be obtained with a SSRI combined with cognitive behavioral therapy (CBT) or the similarly oriented\nexposure and response prevention (ERP). Refractory OCD could be treated with different strategies, including a switch to another SSRI or clomipramine, or augmentation with an atypical antipsychotic. The addition of medications other than antipsychotics or intravenous antidepressant administration\nneeds further investigation, as the evidence is inconsistent. Pharmacogenomics and personalization of therapy could reduce treatment resistance. Conclusions: SSRI/clomipramine in combination with CBT/ERP is associated with the optimal response compared to each treatment alone or to other\ntreatments. New strategies for refractory OCD are needed. The role of pharmacogenomics could become preponderant in the coming years.","container-title":"Current Neuropharmacology","DOI":"10.2174/1570159X16666180813155017","issue":"8","journalAbbreviation":"Current Neuropharmacology","page":"710-736","source":"IngentaConnect","title":"Psychopharmacological Treatment of Obsessive-Compulsive Disorder (OCD)","volume":"17","author":[{"family":"Del Casale","given":"Antonio"},{"family":"Sorice","given":"Serena"},{"family":"Padovano","given":"Alessio"},{"family":"Simmaco","given":"Maurizio"},{"family":"Ferracuti","given":"Stefano"},{"family":"Lamis","given":"Dorian A."},{"family":"Rapinesi","given":"Chiara"},{"family":"Sani","given":"Gabriele"},{"family":"Girardi","given":"Paolo"},{"family":"Kotzalidis","given":"Georgios D."},{"family":"Pompili","given":"Maurizio"}],"issued":{"date-parts":[["2019",8,1]]}}}],"schema":"https://github.com/citation-style-language/schema/raw/master/csl-citation.json"} </w:instrText>
      </w:r>
      <w:r w:rsidR="00F73E27">
        <w:fldChar w:fldCharType="separate"/>
      </w:r>
      <w:r w:rsidR="00A13401" w:rsidRPr="00A13401">
        <w:rPr>
          <w:rFonts w:ascii="Calibri" w:hAnsi="Calibri" w:cs="Calibri"/>
        </w:rPr>
        <w:t>(69,70)</w:t>
      </w:r>
      <w:r w:rsidR="00F73E27">
        <w:fldChar w:fldCharType="end"/>
      </w:r>
      <w:r w:rsidR="005925EC" w:rsidRPr="000E73DA">
        <w:t xml:space="preserve">, PTSD </w:t>
      </w:r>
      <w:r w:rsidR="00F73E27">
        <w:fldChar w:fldCharType="begin"/>
      </w:r>
      <w:r w:rsidR="00A13401">
        <w:instrText xml:space="preserve"> ADDIN ZOTERO_ITEM CSL_CITATION {"citationID":"ox1AXrrd","properties":{"formattedCitation":"(71,72)","plainCitation":"(71,72)","noteIndex":0},"citationItems":[{"id":1065,"uris":["http://zotero.org/users/5225066/items/B4KJ5XV4"],"itemData":{"id":1065,"type":"article-journal","abstract":"New approaches to the neurobiology of posttraumatic stress disorder (PTSD) are needed to address the reported crisis in PTSD drug development. These new approaches may require the field to move beyond a narrow fear-based perspective, as fear-based medications have not yet demonstrated compelling efficacy. Antidepressants, particularly recent rapid-acting antidepressants, exert complex effects on brain function and structure that build on novel aspects of the biology of PTSD, including a role for stress-related synaptic dysconnectivity in the neurobiology and treatment of PTSD. Here, we integrate this perspective within a broader framework-in other words, a dual pathology model of ( a) stress-related synaptic loss arising from amino acid-based pathology and ( b) stress-related synaptic gain related to monoamine-based pathology. Then, we summarize the standard and experimental (e.g., ketamine) pharmacotherapeutic options for PTSD and discuss their putative mechanism of action and clinical efficacy.","container-title":"Annual review of pharmacology and toxicology","DOI":"10.1146/annurev-pharmtox-010818-021701","ISSN":"1545-4304","journalAbbreviation":"Annu Rev Pharmacol Toxicol","language":"eng","note":"PMID: 30216745\nPMCID: PMC6326888","page":"171-189","source":"Europe PMC","title":"The Neurobiology and Pharmacotherapy of Posttraumatic Stress Disorder","volume":"59","author":[{"family":"Abdallah","given":"Chadi G"},{"family":"Averill","given":"Lynnette A"},{"family":"Akiki","given":"Teddy J"},{"family":"Raza","given":"Mohsin"},{"family":"Averill","given":"Christopher L"},{"family":"Gomaa","given":"Hassaan"},{"family":"Adikey","given":"Archana"},{"family":"Krystal","given":"John H"}],"issued":{"date-parts":[["2019",1,1]]}}},{"id":1070,"uris":["http://zotero.org/users/5225066/items/FCC3LQ4P"],"itemData":{"id":1070,"type":"article-journal","abstract":"Current clinical practice guidelines for the treatment of posttraumatic stress disorder offer varying recommendations regarding the use of pharmacotherapy. Many direct head-to-head comparisons of pharmacotherapy are lacking, and recommendations are based on meta-analyses and small trials. While selective serotonin reuptake inhibitors and serotonin norepinephrine reuptake inhibitors are considered first-line pharmacotherapy, clear distinctions do not exist when considering other classes of psychotropic medications. Ultimately, when selecting an appropriate medication for a patient diagnosed with posttraumatic stress disorder, the clinician needs to consider the current symptomatology being experienced, comorbid conditions, and evidence for efficacy of specific treatments prior to initiating medications.","container-title":"Mental Health Clinician","DOI":"10.9740/mhc.2019.11.373","ISSN":"2168-9709","issue":"6","journalAbbreviation":"Mental Health Clinician","page":"373-382","source":"Silverchair","title":"Treatment of posttraumatic stress disorder: Focus on pharmacotherapy","title-short":"Treatment of posttraumatic stress disorder","volume":"9","author":[{"family":"Ehret","given":"Megan"}],"issued":{"date-parts":[["2019",11,1]]}}}],"schema":"https://github.com/citation-style-language/schema/raw/master/csl-citation.json"} </w:instrText>
      </w:r>
      <w:r w:rsidR="00F73E27">
        <w:fldChar w:fldCharType="separate"/>
      </w:r>
      <w:r w:rsidR="00A13401" w:rsidRPr="00A13401">
        <w:rPr>
          <w:rFonts w:ascii="Calibri" w:hAnsi="Calibri" w:cs="Calibri"/>
        </w:rPr>
        <w:t>(71,72)</w:t>
      </w:r>
      <w:r w:rsidR="00F73E27">
        <w:fldChar w:fldCharType="end"/>
      </w:r>
      <w:r w:rsidR="005925EC" w:rsidRPr="000E73DA">
        <w:t xml:space="preserve"> and anxiety</w:t>
      </w:r>
      <w:r w:rsidR="00F73E27">
        <w:t xml:space="preserve"> </w:t>
      </w:r>
      <w:r w:rsidR="00F73E27">
        <w:fldChar w:fldCharType="begin"/>
      </w:r>
      <w:r w:rsidR="00A13401">
        <w:instrText xml:space="preserve"> ADDIN ZOTERO_ITEM CSL_CITATION {"citationID":"uI0aULco","properties":{"formattedCitation":"(73,74)","plainCitation":"(73,74)","noteIndex":0},"citationItems":[{"id":1069,"uris":["http://zotero.org/users/5225066/items/IF2I83LD"],"itemData":{"id":1069,"type":"article-journal","abstract":"Anxiety disorders (generalized anxiety disorder, panic disorder/agoraphobia, social anxiety disorder, and others) are the most prevalent psychiatric disorders, and are associated with a high burden of illness. Anxiety disorders are often underrecognized and undertreated in primary care. Treatment is indicated when a patient shows marked distress or suffers from complications resulting from the disorder. The treatment recommendations given in this article are based on guidelines, meta-analyses, and systematic reviews of randomized controlled studies. Anxiety disorders should be treated with psychological therapy, pharmacotherapy, or a combination of both. Cognitive behavioral therapy can be regarded as the psychotherapy with the highest level of evidence. First-line drugs are the selective serotonin reuptake inhibitors and serotonin-norepinephrine reuptake inhibitors. Benzodiazepines are not recommended for routine use. Other treatment options include pregabalin, tricyclic antidepressants, buspirone, moclobemide, and others. After remission, medications should be continued for 6 to 12 months. When developing a treatment plan, efficacy, adverse effects, interactions, costs, and the preference of the patient should be considered.","container-title":"Dialogues in Clinical Neuroscience","ISSN":"1294-8322","issue":"2","journalAbbreviation":"Dialogues Clin Neurosci","note":"PMID: 28867934\nPMCID: PMC5573566","page":"93-107","source":"PubMed Central","title":"Treatment of anxiety disorders","volume":"19","author":[{"family":"Bandelow","given":"Borwin"},{"family":"Michaelis","given":"Sophie"},{"family":"Wedekind","given":"Dirk"}],"issued":{"date-parts":[["2017",6]]}}},{"id":1067,"uris":["http://zotero.org/users/5225066/items/RANNDVF9"],"itemData":{"id":1067,"type":"article-journal","abstract":"Background\nAnxiety disorders are the most common type of mental illness in Europe, with a 12-month prevalence of 14% among persons aged 14 to 65. Their onset is usually in adolescence or early adulthood. The affected patients often develop further mental or somatic illnesses (sequential comorbidity).\n\nMethods\nThis review is based on pertinent publications retrieved by a selective search in PubMed.\n\nResults\nThe group of anxiety disorders includes generalized anxiety disorder (GAD), phobic disorders, panic disorders, and two disorders that are often restricted to childhood—separation anxiety and selective mutism. A comprehensive differential diagnostic evaluation is essential, because anxiety can be a principal manifestation of other types of mental or somatic illness as well. Psychotherapy and treatment with psychoactive drugs are the therapeutic strategies of first choice. Of all types of psychotherapy, cognitive behavioral therapy has the best documented efficacy. Modern antidepressants are the drugs of first choice for the treatment of panic disorders, agoraphobia, social phobia, and GAS; pregabalin is a further drug of first choice for GAS.\n\nConclusion\nIn general, anxiety disorders can now be effectively treated. Patients should be informed of the therapeutic options and should be involved in treatment planning. Current research efforts are centered on individualized and therefore, it is hoped, even more effective treatment approaches than are available at present.","container-title":"Deutsches Ärzteblatt International","DOI":"10.3238/arztebl.2018.0611","ISSN":"1866-0452","issue":"37","journalAbbreviation":"Dtsch Arztebl Int","note":"PMID: 30282583\nPMCID: PMC6206399","page":"611-620","source":"PubMed Central","title":"The Diagnosis and Treatment of Anxiety Disorders","volume":"115","author":[{"family":"Ströhle","given":"Andreas"},{"family":"Gensichen","given":"Jochen"},{"family":"Domschke","given":"Katharina"}],"issued":{"date-parts":[["2018",9]]}}}],"schema":"https://github.com/citation-style-language/schema/raw/master/csl-citation.json"} </w:instrText>
      </w:r>
      <w:r w:rsidR="00F73E27">
        <w:fldChar w:fldCharType="separate"/>
      </w:r>
      <w:r w:rsidR="00A13401" w:rsidRPr="00A13401">
        <w:rPr>
          <w:rFonts w:ascii="Calibri" w:hAnsi="Calibri" w:cs="Calibri"/>
        </w:rPr>
        <w:t>(73,74)</w:t>
      </w:r>
      <w:r w:rsidR="00F73E27">
        <w:fldChar w:fldCharType="end"/>
      </w:r>
      <w:r w:rsidR="005925EC" w:rsidRPr="000E73DA">
        <w:t xml:space="preserve">. </w:t>
      </w:r>
      <w:r w:rsidR="005B00A6">
        <w:t>The reported range for</w:t>
      </w:r>
      <w:r w:rsidR="005925EC" w:rsidRPr="000E73DA">
        <w:t xml:space="preserve"> off-label</w:t>
      </w:r>
      <w:r w:rsidR="00FF18C3">
        <w:t xml:space="preserve"> prescribing</w:t>
      </w:r>
      <w:r w:rsidR="005B00A6">
        <w:t xml:space="preserve"> of antidepressants</w:t>
      </w:r>
      <w:r w:rsidR="006E1339">
        <w:t xml:space="preserve">, where </w:t>
      </w:r>
      <w:r w:rsidR="0023379E">
        <w:t>a</w:t>
      </w:r>
      <w:r w:rsidR="00B66622">
        <w:t>n antidepressant</w:t>
      </w:r>
      <w:r w:rsidR="0023379E">
        <w:t xml:space="preserve"> drug is</w:t>
      </w:r>
      <w:r w:rsidR="006E1339">
        <w:t xml:space="preserve"> </w:t>
      </w:r>
      <w:r w:rsidR="005B00A6">
        <w:t>prescribed for non-licensed purposes</w:t>
      </w:r>
      <w:r w:rsidR="006E1339">
        <w:t>,</w:t>
      </w:r>
      <w:r w:rsidR="005925EC" w:rsidRPr="000E73DA">
        <w:t xml:space="preserve"> </w:t>
      </w:r>
      <w:r w:rsidR="005B00A6">
        <w:t>is</w:t>
      </w:r>
      <w:r w:rsidR="005925EC" w:rsidRPr="000E73DA">
        <w:t xml:space="preserve"> 25</w:t>
      </w:r>
      <w:r w:rsidR="008A3F3B">
        <w:t xml:space="preserve"> to </w:t>
      </w:r>
      <w:r w:rsidR="005925EC" w:rsidRPr="000E73DA">
        <w:t xml:space="preserve">35% </w:t>
      </w:r>
      <w:r w:rsidR="00F73E27">
        <w:fldChar w:fldCharType="begin"/>
      </w:r>
      <w:r w:rsidR="00A13401">
        <w:instrText xml:space="preserve"> ADDIN ZOTERO_ITEM CSL_CITATION {"citationID":"v95OlElz","properties":{"formattedCitation":"(75,76)","plainCitation":"(75,76)","noteIndex":0},"citationItems":[{"id":849,"uris":["http://zotero.org/users/5225066/items/I3ULZSF2"],"itemData":{"id":849,"type":"article-journal","abstract":"This study aimed to describe the frequency of off-label prescriptions of psychopharmacological drugs in a child and adolescent psychiatric setting. A cross-sectional study was conducted on November 1, 2014, including all inpatients and outpatients at the Mental Health Centre for Child and Adolescent Psychiatry, Capital Region of Denmark, aged 0 to 17 years receiving medical treatment with antidepressants, antipsychotic agents, benzodiazepines, melatonin and/or attention deficit hyperactivity disorder (ADHD) medication. We included a total of 5555 prescriptions representing 2932 patients. The main findings were that 32.3% of all prescriptions were off-label, and 41.6% of subjects received at least 1 off-label prescription. The most frequent off-label category was low age, 72.2%, meaning that the drug was not approved for the age group of the patient. The off-label rates for each drug class were as follows: melatonin, 100%; antipsychotic agents, 95.6%; benzodiazepines, 72.5%; antidepressants, 51.1%; and ADHD medication, 2.7%. Prescription of 2 or more psychopharmacological drugs per patient was common (31.5%). The group of subjects with 4 or more prescriptions (n = 36) was characterized by a higher frequency of inpatients, older age, and a different distribution of diagnoses. This study found a frequent use of off-label prescriptions when treating children and adolescents with psychopharmacological drugs other than ADHD medication. In addition, prescription of more than 1 psychotropic drug is common. These findings support the need for extending the evidence base for psychopharmacologic treatment in children and adolescents.","container-title":"Journal of Clinical Psychopharmacology","DOI":"10.1097/JCP.0000000000000559","ISSN":"0271-0749","issue":"5","language":"en-US","page":"500–507","source":"journals.lww.com","title":"Off-Label Prescription of Psychopharmacological Drugs in Child and Adolescent Psychiatry","volume":"36","author":[{"family":"Braüner","given":"Julie Vestergaard"},{"family":"Johansen","given":"Lily Manzello"},{"family":"Roesbjerg","given":"Troels"},{"family":"Pagsberg","given":"Anne Katrine"}],"issued":{"date-parts":[["2016",10]]}}},{"id":869,"uris":["http://zotero.org/users/5225066/items/SJRTGPG5"],"itemData":{"id":869,"type":"article-journal","abstract":"Purpose So far, only little is known about antidepressant off-label use in pediatric patients. This is the first study examining the prevalence and the risks of off-label antidepressant prescriptions in minors over time in Germany and analyzing patterns regarding age, sex, drug class, and type of off-label use. Methods We used claims data of about two million individuals (&lt;18 y) to calculate the share of off-label antidepressant prescriptions for the years 2004 to 2011, stratified by age, sex, and drug class. Off-label prescriptions were analyzed regarding underlying diagnoses, the prescribing doctor's specialty, and the type of off-label use. Incidence rates of adverse events were calculated for off- and on-label use, and the risk of suicidal events associated with off- or on-label use was examined in a nested case-control study. Results The prevalence of off-label prescriptions decreased from 58.0% to 40.9%. Selective serotonin reuptake inhibitors were more frequently prescribed off-label than tricyclic antidepressants (37.7% vs 17.5% in 2011). The most common type of off-label use was off-label use by age, followed by off-label use by indication, and off-label use by contraindication. Adverse events were rare with no significant differences between on- and off-label use. Conclusions Although off-label antidepressant use in minors decreased over time, it is still common. However, this rather indicates a lack of approved drugs for the treatment of depression in this population than inappropriate medical treatment. This is supported by the fact that off-label use was not associated with a higher risk of adverse events than on-label use.","container-title":"Pharmacoepidemiology and Drug Safety","DOI":"10.1002/pds.4289","ISSN":"1099-1557","issue":"11","language":"en","note":"_eprint: https://onlinelibrary.wiley.com/doi/pdf/10.1002/pds.4289","page":"1395-1402","source":"Wiley Online Library","title":"Extent and risks of antidepressant off-label use in children and adolescents in Germany between 2004 and 2011","volume":"26","author":[{"family":"Schröder","given":"Carsten"},{"family":"Dörks","given":"Michael"},{"family":"Kollhorst","given":"Bianca"},{"family":"Blenk","given":"Tilo"},{"family":"Dittmann","given":"Ralf W."},{"family":"Garbe","given":"Edeltraut"},{"family":"Riedel","given":"Oliver"}],"issued":{"date-parts":[["2017"]]}}}],"schema":"https://github.com/citation-style-language/schema/raw/master/csl-citation.json"} </w:instrText>
      </w:r>
      <w:r w:rsidR="00F73E27">
        <w:fldChar w:fldCharType="separate"/>
      </w:r>
      <w:r w:rsidR="00A13401" w:rsidRPr="00A13401">
        <w:rPr>
          <w:rFonts w:ascii="Calibri" w:hAnsi="Calibri" w:cs="Calibri"/>
        </w:rPr>
        <w:t>(75,76)</w:t>
      </w:r>
      <w:r w:rsidR="00F73E27">
        <w:fldChar w:fldCharType="end"/>
      </w:r>
      <w:r w:rsidR="008A3F3B">
        <w:t>,</w:t>
      </w:r>
      <w:r w:rsidR="005925EC" w:rsidRPr="000E73DA">
        <w:t xml:space="preserve"> though figures of over 88% have</w:t>
      </w:r>
      <w:r w:rsidR="00581212">
        <w:t xml:space="preserve"> also</w:t>
      </w:r>
      <w:r w:rsidR="005925EC" w:rsidRPr="000E73DA">
        <w:t xml:space="preserve"> been reported </w:t>
      </w:r>
      <w:r w:rsidR="00113A2B" w:rsidRPr="00113A2B">
        <w:t xml:space="preserve">(72). Sarginson et al. </w:t>
      </w:r>
      <w:r w:rsidR="00113A2B">
        <w:fldChar w:fldCharType="begin"/>
      </w:r>
      <w:r w:rsidR="00A13401">
        <w:instrText xml:space="preserve"> ADDIN ZOTERO_ITEM CSL_CITATION {"citationID":"B33cdSqo","properties":{"formattedCitation":"(77)","plainCitation":"(77)","noteIndex":0},"citationItems":[{"id":844,"uris":["http://zotero.org/users/5225066/items/864KKKEG"],"itemData":{"id":844,"type":"article-journal","abstract":"Background\nThe prevalence of antidepressant prescribing in children and adolescents increased steadily in the United States and parts of Europe between 2005 and 2012 despite regulatory safety warnings. Little is known about the characteristics of those being prescribed antidepressants for the first time.\nMethods\nA longitudinal study of antidepressant prescribing in 3–17 year olds was carried out using data from the UK Clinical Practice Research Datalink (CPRD) between 2000 and 2015. Changes in the incidence of first ever antidepressant prescriptions and the characteristics of those being prescribed them was examined.\nResults\nIncidence of first ever prescriptions nearly doubled between 2006 and 2015 rising from 1.60 (95%CI: 1.51, 1.69) to 3.12 (3.00, 3.25) per 1000 person years. Only 21% of the 1721 patients with incident prescriptions in 2015 could be linked to a depression diagnosis, with an additional 22% of prescriptions linked to alternative indications. The incidence of prescriptions linked to a depression diagnosis increased between 2012 and 2015, with an adjusted incidence rate ratio of 1.46 (1.26, 1.70). Antidepressant prescribing for depression and other indications has been increasing most rapidly in 15 to 17 year old females.\nLimitations\nDiagnoses are not directly linked to prescriptions in CPRD, so linkage must be inferred by temporal proximity.\nConclusions\nAntidepressant prescribing in children increased between 2006 and 2015. This is, at least in part, due to a rise in alternative uses of antidepressants, including the treatment of anxiety, chronic pain and migraines.","container-title":"Journal of Affective Disorders","DOI":"10.1016/j.jad.2016.12.047","ISSN":"0165-0327","journalAbbreviation":"Journal of Affective Disorders","language":"en","page":"312-318","source":"ScienceDirect","title":"Temporal trends in antidepressant prescribing to children in UK primary care, 2000–2015","volume":"210","author":[{"family":"Sarginson","given":"Jane"},{"family":"Webb","given":"Roger T."},{"family":"Stocks","given":"S. Jill"},{"family":"Esmail","given":"Aneez"},{"family":"Garg","given":"Shruti"},{"family":"Ashcroft","given":"Darren M."}],"issued":{"date-parts":[["2017",3,1]]}}}],"schema":"https://github.com/citation-style-language/schema/raw/master/csl-citation.json"} </w:instrText>
      </w:r>
      <w:r w:rsidR="00113A2B">
        <w:fldChar w:fldCharType="separate"/>
      </w:r>
      <w:r w:rsidR="00A13401" w:rsidRPr="00A13401">
        <w:rPr>
          <w:rFonts w:ascii="Calibri" w:hAnsi="Calibri" w:cs="Calibri"/>
        </w:rPr>
        <w:t>(77)</w:t>
      </w:r>
      <w:r w:rsidR="00113A2B">
        <w:fldChar w:fldCharType="end"/>
      </w:r>
      <w:r w:rsidR="00113A2B" w:rsidRPr="00113A2B">
        <w:t xml:space="preserve"> </w:t>
      </w:r>
      <w:r w:rsidR="005925EC" w:rsidRPr="000E73DA">
        <w:t>identified that for 15- to 17-year-olds females</w:t>
      </w:r>
      <w:r w:rsidR="00E1406A">
        <w:t>,</w:t>
      </w:r>
      <w:r w:rsidR="005925EC" w:rsidRPr="000E73DA">
        <w:t xml:space="preserve"> there had been a rapid increase in first time antidepressant prescriptions for both depression and non-depression related co</w:t>
      </w:r>
      <w:r w:rsidR="00B511C1">
        <w:t xml:space="preserve">nditions between 2000 and 2015, further indicating that some cases in the original and replication datasets may not accurately reflect depression. </w:t>
      </w:r>
      <w:r w:rsidR="00917DC9" w:rsidRPr="00917DC9">
        <w:t xml:space="preserve">Using a definition </w:t>
      </w:r>
      <w:r w:rsidR="00400AA7">
        <w:t xml:space="preserve">of depression </w:t>
      </w:r>
      <w:r w:rsidR="00917DC9" w:rsidRPr="00917DC9">
        <w:t xml:space="preserve">that is too broad </w:t>
      </w:r>
      <w:r w:rsidR="00FD3123">
        <w:t xml:space="preserve">may harm the out of sample accuracy of the model. </w:t>
      </w:r>
      <w:r w:rsidR="00917DC9" w:rsidRPr="00917DC9">
        <w:t xml:space="preserve">This is a significant </w:t>
      </w:r>
      <w:r w:rsidR="0085380C">
        <w:t xml:space="preserve">limiting factor </w:t>
      </w:r>
      <w:r w:rsidR="00137106">
        <w:t xml:space="preserve">and an important </w:t>
      </w:r>
      <w:r w:rsidR="00917DC9" w:rsidRPr="00917DC9">
        <w:t xml:space="preserve">consideration for </w:t>
      </w:r>
      <w:r w:rsidR="00137106">
        <w:t xml:space="preserve">future </w:t>
      </w:r>
      <w:r w:rsidR="00BF14FA">
        <w:t>ML</w:t>
      </w:r>
      <w:r w:rsidR="00917DC9" w:rsidRPr="00917DC9">
        <w:t xml:space="preserve"> di</w:t>
      </w:r>
      <w:r w:rsidR="00E1406A">
        <w:t>agnostic/prediction application</w:t>
      </w:r>
      <w:r w:rsidR="00137106">
        <w:t xml:space="preserve">s </w:t>
      </w:r>
      <w:r w:rsidR="00843A6B">
        <w:t>using EHRs.</w:t>
      </w:r>
    </w:p>
    <w:p w14:paraId="686BE0FA" w14:textId="436B737B" w:rsidR="00FD4C3E" w:rsidRDefault="00CE0454" w:rsidP="00764234">
      <w:r>
        <w:t xml:space="preserve">Our consideration of the count variable shows that researchers should think carefully </w:t>
      </w:r>
      <w:r w:rsidR="00EF1043">
        <w:t xml:space="preserve">whether to </w:t>
      </w:r>
      <w:r w:rsidR="0037747C">
        <w:t>include</w:t>
      </w:r>
      <w:r w:rsidR="00EF1043">
        <w:t xml:space="preserve"> information about GP visits in their models. </w:t>
      </w:r>
      <w:r w:rsidR="00607376">
        <w:t>As expected,</w:t>
      </w:r>
      <w:r w:rsidR="00EF1043">
        <w:t xml:space="preserve"> visits to GP are more prevalent among cases than controls (5.07 vs. 1.53 per annum on average)</w:t>
      </w:r>
      <w:r w:rsidR="000605CF">
        <w:t>. However,</w:t>
      </w:r>
      <w:r w:rsidR="00EF1043">
        <w:t xml:space="preserve"> there is no reason to believe that these visits are uniquely related to depression or even mental health in general. Indeed, in the UK</w:t>
      </w:r>
      <w:r w:rsidR="00D8105F">
        <w:t>,</w:t>
      </w:r>
      <w:r w:rsidR="00EF1043">
        <w:t xml:space="preserve"> 10% of patients are responsible for 40% of primary care visits across multiple disorders </w:t>
      </w:r>
      <w:r w:rsidR="006F410E">
        <w:fldChar w:fldCharType="begin"/>
      </w:r>
      <w:r w:rsidR="00A13401">
        <w:instrText xml:space="preserve"> ADDIN ZOTERO_ITEM CSL_CITATION {"citationID":"DDQmrxbt","properties":{"formattedCitation":"(78)","plainCitation":"(78)","noteIndex":0},"citationItems":[{"id":4455,"uris":["http://zotero.org/users/5225066/items/SK2JWPUK"],"itemData":{"id":4455,"type":"article-journal","abstract":"Objective To describe the distribution of consultations at the practice level and examine whether increases are uniform or driven by people who consult more frequently.\nDesign Retrospective cohort study.\nSetting UK general practice data from the Clinical Practice Research Datalink (CPRD) GOLD database.\nParticipants 1 699 709 314 consultation events from 12 330 545 patients, in 845 general practices (1 April 2000 to 31 March 2019).\nMethods Consultation information was aggregated by financial year into: all consultations/all staff; all consultations/general practitioners (GPs); face-to-face consultations/all staff; face-to-face consultations/GPs. Patients with a number of consultations above the 90th centile, within each year, were classified as frequent attenders. Negative binomial regressions examined the association between available practice characteristics and consultation distribution.\nResults Among frequent attenders, all consultations by GPs increased from a median (25th and 75th centile) of 13 (10 and 16) to 21 (18 and 25) and all consultations by all staff increased from 27 (23–30) to 60 (51–69) over the study period. Approximately four out of ten consultations of any type concerned frequent attenders and the proportion of consultations attributed to them increased over time, particularly for face-to-face consultations with GPs, from a median of 38.0% (35.9%–40.3%) in 2000–2001 to 43.0% (40.6%–46.4%) in 2018–2019. Regression analyses indicated decreasing trends over time for face-to-face consultations and increasing trends for all consultation types, for both GPs and all staff. Frequent attenders consulted approximately five times more than the rest of the practice population, on average, with adjusted incidence rate ratios ranging between 4.992 (95% CI 4.917 to 5.068) for face-to-face consultations with all staff and 5.603 (95% CI 5.560 to 5.647) for all consultations with GPs.\nConclusions Frequent attenders progressively contributed to increased workload in general practices across the UK from 2000 to 2019. Important knowledge gaps remain in terms of the demographic, social and health characteristics of frequent attenders and how UK general practices can be prepared to meet the needs of these patients.","container-title":"BMJ Open","DOI":"10.1136/bmjopen-2021-054666","ISSN":"2044-6055, 2044-6055","issue":"12","language":"en","license":"© Author(s) (or their employer(s)) 2021. Re-use permitted under CC BY. Published by BMJ.. https://creativecommons.org/licenses/by/4.0/This is an open access article distributed in accordance with the Creative Commons Attribution 4.0 Unported (CC BY 4.0) license, which permits others to copy, redistribute, remix, transform and build upon this work for any purpose, provided the original work is properly cited, a link to the licence is given, and indication of whether changes were made. See: https://creativecommons.org/licenses/by/4.0/.","note":"publisher: British Medical Journal Publishing Group\nsection: General practice / Family practice\nPMID: 34930742","page":"e054666","source":"bmjopen.bmj.com","title":"Consultation patterns and frequent attenders in UK primary care from 2000 to 2019: a retrospective cohort analysis of consultation events across 845 general practices","title-short":"Consultation patterns and frequent attenders in UK primary care from 2000 to 2019","volume":"11","author":[{"family":"Kontopantelis","given":"Evangelos"},{"family":"Panagioti","given":"Maria"},{"family":"Farragher","given":"Tracey"},{"family":"Munford","given":"Luke A."},{"family":"Parisi","given":"Rosa"},{"family":"Planner","given":"Claire"},{"family":"Spooner","given":"Sharon"},{"family":"Tse","given":"Alice"},{"family":"Ashcroft","given":"Darren M."},{"family":"Esmail","given":"Aneez"}],"issued":{"date-parts":[["2021",12,1]]}}}],"schema":"https://github.com/citation-style-language/schema/raw/master/csl-citation.json"} </w:instrText>
      </w:r>
      <w:r w:rsidR="006F410E">
        <w:fldChar w:fldCharType="separate"/>
      </w:r>
      <w:r w:rsidR="00A13401" w:rsidRPr="00A13401">
        <w:rPr>
          <w:rFonts w:ascii="Calibri" w:hAnsi="Calibri" w:cs="Calibri"/>
        </w:rPr>
        <w:t>(78)</w:t>
      </w:r>
      <w:r w:rsidR="006F410E">
        <w:fldChar w:fldCharType="end"/>
      </w:r>
      <w:r w:rsidR="00EF1043">
        <w:t xml:space="preserve">. A cursory look at the existing literature shows that </w:t>
      </w:r>
      <w:r w:rsidR="00481F5F">
        <w:t xml:space="preserve">GP visits are often used in predictive models </w:t>
      </w:r>
      <w:r w:rsidR="00481F5F">
        <w:lastRenderedPageBreak/>
        <w:t>of depression</w:t>
      </w:r>
      <w:r w:rsidR="00113A2B">
        <w:t xml:space="preserve"> </w:t>
      </w:r>
      <w:r w:rsidR="00113A2B">
        <w:fldChar w:fldCharType="begin"/>
      </w:r>
      <w:r w:rsidR="00A13401">
        <w:instrText xml:space="preserve"> ADDIN ZOTERO_ITEM CSL_CITATION {"citationID":"OXJVVpB6","properties":{"formattedCitation":"(79\\uc0\\u8211{}81)","plainCitation":"(79–81)","noteIndex":0},"citationItems":[{"id":256,"uris":["http://zotero.org/users/5225066/items/WQL2GHDF"],"itemData":{"id":256,"type":"article-journal","abstract":"Background: As the most commonly occurring form of mental illness worldwide, depression poses significant health and economic burdens to both the individual and community. Different types of depression pose different levels of risk. Individuals who suffer from mild forms of depression may recover without any assistance or be effectively managed by primary care or family practitioners. However, other forms of depression are far more severe and require advanced care by certified mental health providers. However, identifying cases of depression that require advanced care may be challenging to primary care providers and health care team members whose skill sets run broad rather than deep. Objective: This study aimed to leverage a comprehensive range of patient-level diagnostic, behavioral, and demographic data, as well as past visit history data from a statewide health information exchange to build decision models capable of predicting the need of advanced care for depression across patients presenting at Eskenazi Health, the public safety net health system for Marion County, Indianapolis, Indiana. Methods: Patient-level diagnostic, behavioral, demographic, and past visit history data extracted from structured datasets were merged with outcome variables extracted from unstructured free-text datasets and were used to train random forest decision models that predicted the need of advanced care for depression across (1) the overall patient population and (2) various subsets of patients at higher risk for depression-related adverse events; patients with a past diagnosis of depression; patients with a Charlson comorbidity index of ≥1; patients with a Charlson comorbidity index of ≥2; and all unique patients identified across the 3 above-mentioned high-risk groups. Results: The overall patient population consisted of 84,317 adult (aged ≥18 years) patients. A total of 6992 (8.29%) of these patients were in need of advanced care for depression. Decision models for high-risk patient groups yielded area under the curve (AUC) scores between 86.31% and 94.43%. The decision model for the overall patient population yielded a comparatively lower AUC score of 78.87%. The variance of optimal sensitivity and specificity for all decision models, as identified using Youden J Index, is as follows: sensitivity=68.79% to 83.91% and specificity=76.03% to 92.18%. Conclusions: This study demonstrates the ability to automate screening for patients in need of advanced care for depression across (1) an overall patient population or (2) various high-risk patient groups using structured datasets covering acute and chronic conditions, patient demographics, behaviors, and past visit history. Furthermore, these results show considerable potential to enable preventative care and can be easily integrated into existing clinical workflows to improve access to wraparound health care services.  [J Med Internet Res 2019;21(7):e13809]","container-title":"Journal of Medical Internet Research","DOI":"10.2196/13809","issue":"7","language":"en","note":"Company: Journal of Medical Internet Research\nDistributor: Journal of Medical Internet Research\nInstitution: Journal of Medical Internet Research\nLabel: Journal of Medical Internet Research\npublisher: JMIR Publications Inc., Toronto, Canada","page":"e13809","source":"www.jmir.org","title":"Identification of Patients in Need of Advanced Care for Depression Using Data Extracted From a Statewide Health Information Exchange: A Machine Learning Approach","title-short":"Identification of Patients in Need of Advanced Care for Depression Using Data Extracted From a Statewide Health Information Exchange","volume":"21","author":[{"family":"Kasthurirathne","given":"Suranga N."},{"family":"Biondich","given":"Paul G."},{"family":"Grannis","given":"Shaun J."},{"family":"Purkayastha","given":"Saptarshi"},{"family":"Vest","given":"Joshua R."},{"family":"Jones","given":"Josette F."}],"issued":{"date-parts":[["2019"]]}}},{"id":3143,"uris":["http://zotero.org/groups/2383339/items/V9BLAUIQ"],"itemData":{"id":3143,"type":"article-journal","abstract":"Background\nDespite being common and having long lasting effects, mental health problems in children are often under-recognised and under-treated. Improving early identification is important in order to provide adequate, timely treatment. We aimed to develop prediction models for the one-year risk of a first recorded mental health problem in children attending primary care.\nMethods\nWe carried out a population-based cohort study based on readily available routine healthcare data anonymously extracted from electronic medical records of 76 general practice centers in the Leiden area, the Netherlands. We included all patients aged 1–19 years on 31 December 2016 without prior mental health problems. Multilevel logistic regression analyses were used to predict the one-year risk of a first recorded mental health problem. Potential predictors were characteristics related to the child, family and healthcare use. Model performance was assessed by examining measures of discrimination and calibration.\nFindings\nData from 70,000 children were available. A mental health problem was recorded in 27•7% of patients during the period 2007–2017. Age independent predictors were somatic complaints, more than two GP visits in the previous year, one or more laboratory test and one or more referral/contact with other healthcare professional in the previous year. Other predictors and their effects differed between age groups. Model performance was moderate (c-statistic 0.62–0.63), while model calibration was good.\nInterpretation\nThis study is a first promising step towards developing prediction models for identifying children at risk of a first mental health problem to support primary care practice by using routine healthcare data. Data enrichment from other available sources regarding e.g. school performance and family history could improve model performance. Further research is needed to externally validate our models and to establish whether we are able to improve under-recognition of mental health problems.","container-title":"EClinicalMedicine","DOI":"10.1016/j.eclinm.2019.09.007","ISSN":"2589-5370","journalAbbreviation":"EClinicalMedicine","language":"en","page":"89-97","source":"ScienceDirect","title":"Identification of children at risk for mental health problems in primary care—Development of a prediction model with routine health care data","volume":"15","author":[{"family":"Koning","given":"Nynke R."},{"family":"Büchner","given":"Frederike L."},{"family":"Vermeiren","given":"Robert R. J. M."},{"family":"Crone","given":"Mathilde R."},{"family":"Numans","given":"Mattijs E."}],"issued":{"date-parts":[["2019",10,1]]}}},{"id":745,"uris":["http://zotero.org/users/5225066/items/UHE35N4M"],"itemData":{"id":745,"type":"article-journal","abstract":"This study proposes a framework for mining temporal patterns from Electronic Medical Records. A new scoring scheme based on the Wilson interval is provided to obtain frequent and predictive patterns, as well as to accelerate the mining process by reducing the number of patterns mined. This is combined with a case study using data from general practices in the Netherlands to identify children at risk of suffering from mental disorders. To develop an accurate model, feature engineering methods such as one hot encoding and frequency transformation are proposed, and the pattern selection is tailored to this type of clinical data. Six machine learning models are trained on five age groups, with XGBoost achieving the highest AUC values (0.75–0.79) with sensitivity and specificity above 0.7 and 0.6 respectively. An improvement is demonstrated by the models learning from patterns in addition to non-temporal features.","container-title":"Computers in Biology and Medicine","DOI":"10.1016/j.compbiomed.2020.103973","ISSN":"0010-4825","journalAbbreviation":"Computers in Biology and Medicine","language":"en","page":"103973","source":"ScienceDirect","title":"Quantitative and temporal approach to utilising electronic medical records from general practices in mental health prediction","volume":"125","author":[{"family":"Półchłopek","given":"Olga"},{"family":"Koning","given":"Nynke R."},{"family":"Büchner","given":"Frederike L."},{"family":"Crone","given":"Mathilde R."},{"family":"Numans","given":"Mattijs E."},{"family":"Hoogendoorn","given":"Mark"}],"issued":{"date-parts":[["2020",10,1]]}}}],"schema":"https://github.com/citation-style-language/schema/raw/master/csl-citation.json"} </w:instrText>
      </w:r>
      <w:r w:rsidR="00113A2B">
        <w:fldChar w:fldCharType="separate"/>
      </w:r>
      <w:r w:rsidR="00A13401" w:rsidRPr="00A13401">
        <w:rPr>
          <w:rFonts w:ascii="Calibri" w:hAnsi="Calibri" w:cs="Calibri"/>
          <w:szCs w:val="24"/>
        </w:rPr>
        <w:t>(79–81)</w:t>
      </w:r>
      <w:r w:rsidR="00113A2B">
        <w:fldChar w:fldCharType="end"/>
      </w:r>
      <w:r w:rsidR="00113A2B">
        <w:t xml:space="preserve">. </w:t>
      </w:r>
      <w:r w:rsidR="00481F5F">
        <w:t xml:space="preserve">Although this may be warranted for many research questions, </w:t>
      </w:r>
      <w:r w:rsidR="003D270F">
        <w:t xml:space="preserve">researchers should be careful in interpreting the importance of </w:t>
      </w:r>
      <w:r w:rsidR="0085553B">
        <w:t>the count</w:t>
      </w:r>
      <w:r w:rsidR="003D270F">
        <w:t xml:space="preserve"> </w:t>
      </w:r>
      <w:r w:rsidR="00F86308">
        <w:t>information</w:t>
      </w:r>
      <w:r w:rsidR="003D270F">
        <w:t>.</w:t>
      </w:r>
      <w:r w:rsidR="00EF1043">
        <w:t xml:space="preserve"> The inclusion of this variable may be </w:t>
      </w:r>
      <w:r w:rsidR="00183C0F">
        <w:t>more</w:t>
      </w:r>
      <w:r w:rsidR="003D270F">
        <w:t xml:space="preserve"> </w:t>
      </w:r>
      <w:r w:rsidR="00EF1043">
        <w:t xml:space="preserve">justified if the researchers wish to maximize the predictive power of their model, not when their goal is to understand the </w:t>
      </w:r>
      <w:r w:rsidR="00BF4912">
        <w:t xml:space="preserve">unique </w:t>
      </w:r>
      <w:r w:rsidR="00EF1043">
        <w:t>psychobiol</w:t>
      </w:r>
      <w:r w:rsidR="008A3F3B">
        <w:t>ogical precursors of depression (or build a model that can predict more than one disorder).</w:t>
      </w:r>
      <w:r w:rsidR="00EF1043">
        <w:t xml:space="preserve"> </w:t>
      </w:r>
      <w:r w:rsidR="00EB45EE">
        <w:t xml:space="preserve">Including a general variable indicating any severe health issues such as count may also be more helpful in a differential prediction model that </w:t>
      </w:r>
      <w:r w:rsidR="00201646" w:rsidRPr="00393AEC">
        <w:rPr>
          <w:color w:val="0070C0"/>
        </w:rPr>
        <w:t>does</w:t>
      </w:r>
      <w:r w:rsidR="00201646">
        <w:t xml:space="preserve"> </w:t>
      </w:r>
      <w:r w:rsidR="00EB45EE">
        <w:t xml:space="preserve">not only </w:t>
      </w:r>
      <w:r w:rsidR="00EB45EE" w:rsidRPr="00393AEC">
        <w:rPr>
          <w:color w:val="0070C0"/>
        </w:rPr>
        <w:t>tr</w:t>
      </w:r>
      <w:r w:rsidR="008B35C0" w:rsidRPr="00393AEC">
        <w:rPr>
          <w:color w:val="0070C0"/>
        </w:rPr>
        <w:t>y</w:t>
      </w:r>
      <w:r w:rsidR="00EB45EE">
        <w:t xml:space="preserve"> to predict one disease against control but </w:t>
      </w:r>
      <w:r w:rsidR="00201646" w:rsidRPr="00393AEC">
        <w:rPr>
          <w:color w:val="0070C0"/>
        </w:rPr>
        <w:t xml:space="preserve">also </w:t>
      </w:r>
      <w:r w:rsidR="00EB45EE">
        <w:t>tries to make a differential prediction among multiple diseases.</w:t>
      </w:r>
    </w:p>
    <w:p w14:paraId="5B1BF49C" w14:textId="1DD3FB21" w:rsidR="00267EF8" w:rsidRDefault="0044098D" w:rsidP="00764234">
      <w:r>
        <w:t>Despite fitting multiple models that improve on the standard backward stepwise regression, t</w:t>
      </w:r>
      <w:r w:rsidR="00CE0454">
        <w:t xml:space="preserve">he alternative models showed no major improvement </w:t>
      </w:r>
      <w:r>
        <w:t>in predictive accuracy. T</w:t>
      </w:r>
      <w:r w:rsidR="00CE0454">
        <w:t>his</w:t>
      </w:r>
      <w:r>
        <w:t xml:space="preserve"> result</w:t>
      </w:r>
      <w:r w:rsidR="00CE0454">
        <w:t xml:space="preserve"> is in line with the findings of </w:t>
      </w:r>
      <w:r w:rsidR="00113A2B" w:rsidRPr="00113A2B">
        <w:t xml:space="preserve">Christodoulou et al. </w:t>
      </w:r>
      <w:r w:rsidR="00113A2B">
        <w:fldChar w:fldCharType="begin"/>
      </w:r>
      <w:r w:rsidR="00A13401">
        <w:instrText xml:space="preserve"> ADDIN ZOTERO_ITEM CSL_CITATION {"citationID":"taXFpJWg","properties":{"formattedCitation":"(82)","plainCitation":"(82)","noteIndex":0},"citationItems":[{"id":876,"uris":["http://zotero.org/users/5225066/items/5QIBSJUF"],"itemData":{"id":876,"type":"article-journal","abstract":"Objectives\nThe objective of this study was to compare performance of logistic regression (LR) with machine learning (ML) for clinical prediction modeling in the literature.\nStudy Design and Setting\nWe conducted a Medline literature search (1/2016 to 8/2017) and extracted comparisons between LR and ML models for binary outcomes.\nResults\nWe included 71 of 927 studies. The median sample size was 1,250 (range 72–3,994,872), with 19 predictors considered (range 5–563) and eight events per predictor (range 0.3–6,697). The most common ML methods were classification trees, random forests, artificial neural networks, and support vector machines. In 48 (68%) studies, we observed potential bias in the validation procedures. Sixty-four (90%) studies used the area under the receiver operating characteristic curve (AUC) to assess discrimination. Calibration was not addressed in 56 (79%) studies. We identified 282 comparisons between an LR and ML model (AUC range, 0.52–0.99). For 145 comparisons at low risk of bias, the difference in logit(AUC) between LR and ML was 0.00 (95% confidence interval, −0.18 to 0.18). For 137 comparisons at high risk of bias, logit(AUC) was 0.34 (0.20–0.47) higher for ML.\nConclusion\nWe found no evidence of superior performance of ML over LR. Improvements in methodology and reporting are needed for studies that compare modeling algorithms.","container-title":"Journal of Clinical Epidemiology","DOI":"10.1016/j.jclinepi.2019.02.004","ISSN":"0895-4356","journalAbbreviation":"Journal of Clinical Epidemiology","language":"en","page":"12-22","source":"ScienceDirect","title":"A systematic review shows no performance benefit of machine learning over logistic regression for clinical prediction models","volume":"110","author":[{"family":"Christodoulou","given":"Evangelia"},{"family":"Ma","given":"Jie"},{"family":"Collins","given":"Gary S."},{"family":"Steyerberg","given":"Ewout W."},{"family":"Verbakel","given":"Jan Y."},{"family":"Van Calster","given":"Ben"}],"issued":{"date-parts":[["2019",6,1]]}}}],"schema":"https://github.com/citation-style-language/schema/raw/master/csl-citation.json"} </w:instrText>
      </w:r>
      <w:r w:rsidR="00113A2B">
        <w:fldChar w:fldCharType="separate"/>
      </w:r>
      <w:r w:rsidR="00A13401" w:rsidRPr="00A13401">
        <w:rPr>
          <w:rFonts w:ascii="Calibri" w:hAnsi="Calibri" w:cs="Calibri"/>
        </w:rPr>
        <w:t>(82)</w:t>
      </w:r>
      <w:r w:rsidR="00113A2B">
        <w:fldChar w:fldCharType="end"/>
      </w:r>
      <w:r w:rsidR="00113A2B">
        <w:t xml:space="preserve"> </w:t>
      </w:r>
      <w:r w:rsidR="00CE0454">
        <w:t xml:space="preserve">who reviewed over seventy studies where </w:t>
      </w:r>
      <w:r w:rsidR="001118CD">
        <w:t>ML</w:t>
      </w:r>
      <w:r w:rsidR="00CE0454">
        <w:t xml:space="preserve"> was used to predict a binary outcome and found no significant benefit</w:t>
      </w:r>
      <w:r w:rsidR="00A217D4">
        <w:t xml:space="preserve"> in terms of AUC predictive </w:t>
      </w:r>
      <w:r w:rsidR="00FC1A10">
        <w:t>performance</w:t>
      </w:r>
      <w:r w:rsidR="00267EF8">
        <w:t xml:space="preserve"> vs logistic regression. Overall, our results suggest that a simple logistic regression can suffice in the context of EHRs. Our results in out-of-sample prediction are also encouraging, as they indicate some stability of predictive models across time.</w:t>
      </w:r>
    </w:p>
    <w:p w14:paraId="0CC1A046" w14:textId="13DEABFE" w:rsidR="00DF7020" w:rsidRPr="00DF7020" w:rsidRDefault="00DF7020" w:rsidP="00764234">
      <w:pPr>
        <w:pStyle w:val="Heading1"/>
      </w:pPr>
      <w:r>
        <w:t>Conclusion</w:t>
      </w:r>
    </w:p>
    <w:p w14:paraId="05415578" w14:textId="6DCB0A3A" w:rsidR="008E53EB" w:rsidRDefault="00CE0454" w:rsidP="00764234">
      <w:r>
        <w:t xml:space="preserve">Although we demonstrated </w:t>
      </w:r>
      <w:r w:rsidR="00472A64">
        <w:t>that the</w:t>
      </w:r>
      <w:r>
        <w:t xml:space="preserve"> </w:t>
      </w:r>
      <w:r w:rsidR="00EB45EE">
        <w:t xml:space="preserve">variable </w:t>
      </w:r>
      <w:r>
        <w:t xml:space="preserve">selection </w:t>
      </w:r>
      <w:r w:rsidR="00472A64">
        <w:t xml:space="preserve">is </w:t>
      </w:r>
      <w:r w:rsidR="00374E44">
        <w:t xml:space="preserve">not </w:t>
      </w:r>
      <w:r w:rsidR="00EB45EE">
        <w:t xml:space="preserve">exactly stable </w:t>
      </w:r>
      <w:r>
        <w:t xml:space="preserve">when using a backwards stepwise logistic regression, </w:t>
      </w:r>
      <w:r w:rsidR="00ED48D9">
        <w:t xml:space="preserve">overall, </w:t>
      </w:r>
      <w:r>
        <w:t xml:space="preserve">our results aligned well with the original study. This was the case both for the replication of the original model and the out of sample replication applying NRCBM coefficients to our new EHRs data. We believe we are the first to carefully replicate ML analysis on EHRs </w:t>
      </w:r>
      <w:r w:rsidR="00F677D5">
        <w:t>to predict</w:t>
      </w:r>
      <w:r>
        <w:t xml:space="preserve"> depression among young people. In replicating and extending the depression prediction models of NRCBM we have </w:t>
      </w:r>
      <w:r w:rsidR="001D0097">
        <w:t>contributed to the debate about the suitability of using EHRs to inform the development of</w:t>
      </w:r>
      <w:r>
        <w:t xml:space="preserve"> early diagnosis for adolescents and young adults. We show</w:t>
      </w:r>
      <w:r w:rsidR="00E06E26">
        <w:t>ed</w:t>
      </w:r>
      <w:r>
        <w:t xml:space="preserve"> that stepwise </w:t>
      </w:r>
      <w:r w:rsidR="00030390">
        <w:t>logistic regression</w:t>
      </w:r>
      <w:r>
        <w:t xml:space="preserve"> performs comparably well to more advanced types of (regularized) regressions and ensemble methods.</w:t>
      </w:r>
      <w:r w:rsidR="008E53EB">
        <w:t xml:space="preserve"> </w:t>
      </w:r>
      <w:r>
        <w:t>Through our analysis, we demonstrate</w:t>
      </w:r>
      <w:r w:rsidR="00E06E26">
        <w:t>d</w:t>
      </w:r>
      <w:r>
        <w:t xml:space="preserve"> some potential issues </w:t>
      </w:r>
      <w:r>
        <w:lastRenderedPageBreak/>
        <w:t>associated with the reliance on EHRs</w:t>
      </w:r>
      <w:r w:rsidR="008834E2">
        <w:t>, including changes in the regulations and</w:t>
      </w:r>
      <w:r>
        <w:t xml:space="preserve"> guidelines </w:t>
      </w:r>
      <w:r w:rsidR="008834E2">
        <w:t>(</w:t>
      </w:r>
      <w:r>
        <w:t>such as the QOF</w:t>
      </w:r>
      <w:r w:rsidR="00345107">
        <w:t xml:space="preserve"> guidelines in the UK</w:t>
      </w:r>
      <w:r w:rsidR="008834E2">
        <w:t xml:space="preserve">) and reliance on visits to GP as a </w:t>
      </w:r>
      <w:r w:rsidR="008E53EB">
        <w:t>predictor of specific disorders.</w:t>
      </w:r>
      <w:r w:rsidR="00B538A6">
        <w:t xml:space="preserve"> </w:t>
      </w:r>
      <w:r w:rsidR="00904485">
        <w:t>These issues are illustrative of the challenges faced by the researchers who may be interested in predicting health diagnoses using large datasets of primary health records.</w:t>
      </w:r>
    </w:p>
    <w:p w14:paraId="2A00C71F" w14:textId="3816C173" w:rsidR="00AF232E" w:rsidRDefault="00AF232E" w:rsidP="00764234">
      <w:pPr>
        <w:pStyle w:val="Heading1"/>
      </w:pPr>
      <w:r>
        <w:t>List of Abbreviations</w:t>
      </w:r>
    </w:p>
    <w:p w14:paraId="3AC3C658" w14:textId="77777777" w:rsidR="006D4722" w:rsidRDefault="006D4722" w:rsidP="009058D5">
      <w:pPr>
        <w:spacing w:after="0" w:line="240" w:lineRule="auto"/>
      </w:pPr>
      <w:r>
        <w:t xml:space="preserve">AUC-ROC </w:t>
      </w:r>
      <w:r>
        <w:tab/>
        <w:t>Area Under the Curve - Receiver Operating Characteristic</w:t>
      </w:r>
    </w:p>
    <w:p w14:paraId="039D01DA" w14:textId="77777777" w:rsidR="006D4722" w:rsidRDefault="006D4722" w:rsidP="009058D5">
      <w:pPr>
        <w:spacing w:after="0" w:line="240" w:lineRule="auto"/>
      </w:pPr>
      <w:r>
        <w:t xml:space="preserve">BSREC </w:t>
      </w:r>
      <w:r>
        <w:tab/>
      </w:r>
      <w:r>
        <w:tab/>
        <w:t xml:space="preserve">University of Warwick’s Biomedical and Scientific Research Ethics Committee </w:t>
      </w:r>
    </w:p>
    <w:p w14:paraId="395CC08B" w14:textId="77777777" w:rsidR="006D4722" w:rsidRDefault="006D4722" w:rsidP="009058D5">
      <w:pPr>
        <w:spacing w:after="0" w:line="240" w:lineRule="auto"/>
      </w:pPr>
      <w:r>
        <w:t xml:space="preserve">DALYs </w:t>
      </w:r>
      <w:r>
        <w:tab/>
      </w:r>
      <w:r>
        <w:tab/>
        <w:t>Disability-adjusted life years</w:t>
      </w:r>
    </w:p>
    <w:p w14:paraId="36535EC0" w14:textId="77777777" w:rsidR="006D4722" w:rsidRDefault="006D4722" w:rsidP="009058D5">
      <w:pPr>
        <w:spacing w:after="0" w:line="240" w:lineRule="auto"/>
      </w:pPr>
      <w:r>
        <w:t xml:space="preserve">EHRs </w:t>
      </w:r>
      <w:r>
        <w:tab/>
      </w:r>
      <w:r>
        <w:tab/>
        <w:t xml:space="preserve">Electronic Health Records </w:t>
      </w:r>
    </w:p>
    <w:p w14:paraId="3766C5D1" w14:textId="77777777" w:rsidR="006D4722" w:rsidRDefault="006D4722" w:rsidP="009058D5">
      <w:pPr>
        <w:spacing w:after="0" w:line="240" w:lineRule="auto"/>
      </w:pPr>
      <w:r>
        <w:t xml:space="preserve">EPSRC </w:t>
      </w:r>
      <w:r>
        <w:tab/>
      </w:r>
      <w:r>
        <w:tab/>
        <w:t xml:space="preserve">Engineering and Physical Sciences Research Council </w:t>
      </w:r>
    </w:p>
    <w:p w14:paraId="7CBFA323" w14:textId="77777777" w:rsidR="006D4722" w:rsidRDefault="006D4722" w:rsidP="009058D5">
      <w:pPr>
        <w:spacing w:after="0" w:line="240" w:lineRule="auto"/>
      </w:pPr>
      <w:r>
        <w:t xml:space="preserve">GP </w:t>
      </w:r>
      <w:r>
        <w:tab/>
      </w:r>
      <w:r>
        <w:tab/>
        <w:t>General Practitioner</w:t>
      </w:r>
    </w:p>
    <w:p w14:paraId="5EE2691A" w14:textId="77777777" w:rsidR="006D4722" w:rsidRDefault="006D4722" w:rsidP="009058D5">
      <w:pPr>
        <w:spacing w:after="0" w:line="240" w:lineRule="auto"/>
      </w:pPr>
      <w:r>
        <w:t xml:space="preserve">IMD </w:t>
      </w:r>
      <w:r>
        <w:tab/>
      </w:r>
      <w:r>
        <w:tab/>
        <w:t xml:space="preserve">Index of Multiple Deprivation </w:t>
      </w:r>
    </w:p>
    <w:p w14:paraId="2EE70029" w14:textId="77777777" w:rsidR="006D4722" w:rsidRDefault="006D4722" w:rsidP="009058D5">
      <w:pPr>
        <w:spacing w:after="0" w:line="240" w:lineRule="auto"/>
      </w:pPr>
      <w:r>
        <w:t xml:space="preserve">LASSO </w:t>
      </w:r>
      <w:r>
        <w:tab/>
      </w:r>
      <w:r>
        <w:tab/>
        <w:t>Least Absolute Shrinkage Selection Operator</w:t>
      </w:r>
    </w:p>
    <w:p w14:paraId="6EFDE614" w14:textId="77777777" w:rsidR="006D4722" w:rsidRDefault="006D4722" w:rsidP="009058D5">
      <w:pPr>
        <w:spacing w:after="0" w:line="240" w:lineRule="auto"/>
      </w:pPr>
      <w:r>
        <w:t xml:space="preserve">NHS </w:t>
      </w:r>
      <w:r>
        <w:tab/>
      </w:r>
      <w:r>
        <w:tab/>
        <w:t xml:space="preserve">National Health Service </w:t>
      </w:r>
    </w:p>
    <w:p w14:paraId="1D708E85" w14:textId="6DFBFEEF" w:rsidR="006D4722" w:rsidRDefault="006D4722" w:rsidP="009058D5">
      <w:pPr>
        <w:spacing w:after="0" w:line="240" w:lineRule="auto"/>
      </w:pPr>
      <w:r>
        <w:t>NRCBM</w:t>
      </w:r>
      <w:r>
        <w:tab/>
      </w:r>
      <w:r>
        <w:tab/>
        <w:t xml:space="preserve">Nichol’s et al. </w:t>
      </w:r>
      <w:r w:rsidR="009A0E78">
        <w:fldChar w:fldCharType="begin"/>
      </w:r>
      <w:r w:rsidR="009A0E78">
        <w:instrText xml:space="preserve"> ADDIN ZOTERO_ITEM CSL_CITATION {"citationID":"2P8uOYZR","properties":{"formattedCitation":"(48)","plainCitation":"(48)","noteIndex":0},"citationItems":[{"id":691,"uris":["http://zotero.org/users/5225066/items/69WFEGTJ"],"itemData":{"id":691,"type":"article-journal","abstract":"Background Approximately 80 000 children and young people in the UK suffer from depression, but many are untreated because of poor identification of early warning signs and risk factors. Aims This study aimed to derive and to investigate discrimination characteristics of a prediction model for a first recorded diagnosis of depression in young people aged 15–24 years. Method This study used a matched case–control method using electronic primary care records. Stepwise conditional logistic regression modelling investigated 42 potential predictors including symptoms, co-morbidities, social factors and drug and alcohol misuse. Results Of the socio-economic and symptomatic predictors identified, the strongest associations were with depression symptoms and other psychological conditions. School problems and social services involvement were prominent predictors in men aged 15–18 years, work stress in women aged 19–24 years. Conclusion Our model is a first step in the development of a predictive model identifying early warning signs of depression in young people in primary care.","container-title":"Early Intervention in Psychiatry","DOI":"10.1111/eip.12332","ISSN":"1751-7893","issue":"3","language":"en","license":"© 2016 John Wiley &amp; Sons Australia, Ltd","page":"444-455","source":"Wiley Online Library","title":"Derivation of a prediction model for a diagnosis of depression in young adults: a matched case–control study using electronic primary care records","title-short":"Derivation of a prediction model for a diagnosis of depression in young adults","volume":"12","author":[{"family":"Nichols","given":"Linda"},{"family":"Ryan","given":"Ronan"},{"family":"Connor","given":"Charlotte"},{"family":"Birchwood","given":"Max"},{"family":"Marshall","given":"Tom"}],"issued":{"date-parts":[["2018"]]}}}],"schema":"https://github.com/citation-style-language/schema/raw/master/csl-citation.json"} </w:instrText>
      </w:r>
      <w:r w:rsidR="009A0E78">
        <w:fldChar w:fldCharType="separate"/>
      </w:r>
      <w:r w:rsidR="009A0E78" w:rsidRPr="009A0E78">
        <w:rPr>
          <w:rFonts w:ascii="Calibri" w:hAnsi="Calibri" w:cs="Calibri"/>
        </w:rPr>
        <w:t>(48)</w:t>
      </w:r>
      <w:r w:rsidR="009A0E78">
        <w:fldChar w:fldCharType="end"/>
      </w:r>
      <w:r>
        <w:t xml:space="preserve"> (Nichols, Ryan, Connor, Birchwood, Marshall)</w:t>
      </w:r>
    </w:p>
    <w:p w14:paraId="02184489" w14:textId="77777777" w:rsidR="006D4722" w:rsidRDefault="006D4722" w:rsidP="009058D5">
      <w:pPr>
        <w:spacing w:after="0" w:line="240" w:lineRule="auto"/>
      </w:pPr>
      <w:r>
        <w:t>OCD</w:t>
      </w:r>
      <w:r>
        <w:tab/>
      </w:r>
      <w:r>
        <w:tab/>
        <w:t>Obsessive Compulsive Disorder</w:t>
      </w:r>
    </w:p>
    <w:p w14:paraId="7809E26E" w14:textId="77777777" w:rsidR="006D4722" w:rsidRDefault="006D4722" w:rsidP="009058D5">
      <w:pPr>
        <w:spacing w:after="0" w:line="240" w:lineRule="auto"/>
      </w:pPr>
      <w:r>
        <w:t xml:space="preserve">OP </w:t>
      </w:r>
      <w:r>
        <w:tab/>
      </w:r>
      <w:r>
        <w:tab/>
        <w:t xml:space="preserve">Observation Period </w:t>
      </w:r>
    </w:p>
    <w:p w14:paraId="2E408BAD" w14:textId="77777777" w:rsidR="006D4722" w:rsidRDefault="006D4722" w:rsidP="009058D5">
      <w:pPr>
        <w:spacing w:after="0" w:line="240" w:lineRule="auto"/>
      </w:pPr>
      <w:r>
        <w:t xml:space="preserve">ORs </w:t>
      </w:r>
      <w:r>
        <w:tab/>
      </w:r>
      <w:r>
        <w:tab/>
        <w:t xml:space="preserve">Odds Ratios </w:t>
      </w:r>
    </w:p>
    <w:p w14:paraId="7D3B4409" w14:textId="77777777" w:rsidR="006D4722" w:rsidRDefault="006D4722" w:rsidP="009058D5">
      <w:pPr>
        <w:spacing w:after="0" w:line="240" w:lineRule="auto"/>
      </w:pPr>
      <w:r>
        <w:t>PRE</w:t>
      </w:r>
      <w:r>
        <w:tab/>
      </w:r>
      <w:r>
        <w:tab/>
        <w:t>Prediction Rules Ensembles.</w:t>
      </w:r>
    </w:p>
    <w:p w14:paraId="65AE0574" w14:textId="77777777" w:rsidR="006D4722" w:rsidRDefault="006D4722" w:rsidP="009058D5">
      <w:pPr>
        <w:spacing w:after="0" w:line="240" w:lineRule="auto"/>
      </w:pPr>
      <w:r>
        <w:t>PTSD</w:t>
      </w:r>
      <w:r>
        <w:tab/>
      </w:r>
      <w:r>
        <w:tab/>
        <w:t>Post Traumatic Stress Disorder</w:t>
      </w:r>
    </w:p>
    <w:p w14:paraId="60141A77" w14:textId="77777777" w:rsidR="006D4722" w:rsidRDefault="006D4722" w:rsidP="009058D5">
      <w:pPr>
        <w:spacing w:after="0" w:line="240" w:lineRule="auto"/>
      </w:pPr>
      <w:r>
        <w:t xml:space="preserve">THIN </w:t>
      </w:r>
      <w:r>
        <w:tab/>
      </w:r>
      <w:r>
        <w:tab/>
        <w:t xml:space="preserve">The Health Improvement Network </w:t>
      </w:r>
    </w:p>
    <w:p w14:paraId="3F62C1E7" w14:textId="7E483393" w:rsidR="00AF232E" w:rsidRDefault="006D4722" w:rsidP="009058D5">
      <w:pPr>
        <w:spacing w:after="0" w:line="240" w:lineRule="auto"/>
      </w:pPr>
      <w:r>
        <w:t xml:space="preserve">YLDs </w:t>
      </w:r>
      <w:r>
        <w:tab/>
      </w:r>
      <w:r>
        <w:tab/>
        <w:t>Years of healthy life lost due to disability</w:t>
      </w:r>
    </w:p>
    <w:p w14:paraId="30DF81C2" w14:textId="77777777" w:rsidR="00AF232E" w:rsidRDefault="00AF232E" w:rsidP="00764234"/>
    <w:p w14:paraId="3B571B13" w14:textId="4B73D330" w:rsidR="00AF232E" w:rsidRPr="00AF232E" w:rsidRDefault="00AF232E" w:rsidP="009058D5">
      <w:pPr>
        <w:pStyle w:val="Heading1"/>
      </w:pPr>
      <w:r>
        <w:t>Declarations</w:t>
      </w:r>
    </w:p>
    <w:p w14:paraId="31DA76AE" w14:textId="209253F2" w:rsidR="00E4341A" w:rsidRDefault="00E4341A" w:rsidP="00764234">
      <w:pPr>
        <w:pStyle w:val="Heading2"/>
      </w:pPr>
      <w:r>
        <w:t>Ethical Approval</w:t>
      </w:r>
    </w:p>
    <w:p w14:paraId="0C00F64B" w14:textId="77777777" w:rsidR="00F30CC2" w:rsidRDefault="00F30CC2" w:rsidP="00764234">
      <w:r>
        <w:t>The ethical approval granted by the NHS South-East Multicentre Research Ethics Committee in 2003 (ref: 03/01/073) for establishment of the THIN database, was updated in 2011 and 2020 and used for this study.</w:t>
      </w:r>
    </w:p>
    <w:p w14:paraId="3657ED24" w14:textId="1BF55C23" w:rsidR="00E4341A" w:rsidRDefault="00F30CC2" w:rsidP="00764234">
      <w:r>
        <w:t>Ethical approval was also granted by the University of Warwick’s Biomedical and Scientific Research Ethics Committee (BSREC) for this study under Ethical Application Reference: BSREC 49/20-2.</w:t>
      </w:r>
    </w:p>
    <w:p w14:paraId="0CFC0E95" w14:textId="072E93F8" w:rsidR="00AF232E" w:rsidRDefault="00AF232E" w:rsidP="00764234">
      <w:pPr>
        <w:pStyle w:val="Heading2"/>
      </w:pPr>
      <w:r w:rsidRPr="00AF232E">
        <w:t>Consent for publication</w:t>
      </w:r>
    </w:p>
    <w:p w14:paraId="17B0AB5E" w14:textId="4EB846A4" w:rsidR="009058D5" w:rsidRPr="009058D5" w:rsidRDefault="0061383B" w:rsidP="009058D5">
      <w:r w:rsidRPr="0061383B">
        <w:t>Not applicable</w:t>
      </w:r>
      <w:r>
        <w:t>.</w:t>
      </w:r>
    </w:p>
    <w:p w14:paraId="756EE4EB" w14:textId="76A72955" w:rsidR="00AF232E" w:rsidRDefault="00AF232E" w:rsidP="00764234">
      <w:pPr>
        <w:pStyle w:val="Heading2"/>
      </w:pPr>
      <w:r w:rsidRPr="00AF232E">
        <w:lastRenderedPageBreak/>
        <w:t>Availability of data and materials</w:t>
      </w:r>
    </w:p>
    <w:p w14:paraId="617A6860" w14:textId="0D0DF0D2" w:rsidR="006F4D50" w:rsidRDefault="006F4D50" w:rsidP="00764234">
      <w:r w:rsidRPr="006F4D50">
        <w:t>The data that support the findings of this study are available from</w:t>
      </w:r>
      <w:r>
        <w:t xml:space="preserve"> THIN </w:t>
      </w:r>
      <w:r>
        <w:fldChar w:fldCharType="begin"/>
      </w:r>
      <w:r>
        <w:instrText xml:space="preserve"> ADDIN ZOTERO_ITEM CSL_CITATION {"citationID":"vL8MmZU3","properties":{"formattedCitation":"(50)","plainCitation":"(50)","noteIndex":0},"citationItems":[{"id":2883,"uris":["http://zotero.org/groups/2383339/items/U87JWJJD"],"itemData":{"id":2883,"type":"webpage","container-title":"Cegedim Health Data","language":"en-GB","note":"source: www.cegedim-health-data.com","title":"Cegedim Health Data -","URL":"https://www.cegedim-health-data.com/","accessed":{"date-parts":[["2020",5,12]]}}}],"schema":"https://github.com/citation-style-language/schema/raw/master/csl-citation.json"} </w:instrText>
      </w:r>
      <w:r>
        <w:fldChar w:fldCharType="separate"/>
      </w:r>
      <w:r w:rsidRPr="006F4D50">
        <w:rPr>
          <w:rFonts w:ascii="Calibri" w:hAnsi="Calibri" w:cs="Calibri"/>
        </w:rPr>
        <w:t>(50)</w:t>
      </w:r>
      <w:r>
        <w:fldChar w:fldCharType="end"/>
      </w:r>
      <w:r w:rsidRPr="006F4D50">
        <w:t xml:space="preserve"> but restrictions apply to the availability of these data, which were used under license for the current study, and so are not publicly available. </w:t>
      </w:r>
      <w:r>
        <w:t xml:space="preserve">The definitions used to obtain the data are available from the authors on request and, subject to commercial and ethical constraints may be available from THIN </w:t>
      </w:r>
      <w:r>
        <w:fldChar w:fldCharType="begin"/>
      </w:r>
      <w:r>
        <w:instrText xml:space="preserve"> ADDIN ZOTERO_ITEM CSL_CITATION {"citationID":"9QslivwX","properties":{"formattedCitation":"(50)","plainCitation":"(50)","noteIndex":0},"citationItems":[{"id":2883,"uris":["http://zotero.org/groups/2383339/items/U87JWJJD"],"itemData":{"id":2883,"type":"webpage","container-title":"Cegedim Health Data","language":"en-GB","note":"source: www.cegedim-health-data.com","title":"Cegedim Health Data -","URL":"https://www.cegedim-health-data.com/","accessed":{"date-parts":[["2020",5,12]]}}}],"schema":"https://github.com/citation-style-language/schema/raw/master/csl-citation.json"} </w:instrText>
      </w:r>
      <w:r>
        <w:fldChar w:fldCharType="separate"/>
      </w:r>
      <w:r w:rsidRPr="006F4D50">
        <w:rPr>
          <w:rFonts w:ascii="Calibri" w:hAnsi="Calibri" w:cs="Calibri"/>
        </w:rPr>
        <w:t>(50)</w:t>
      </w:r>
      <w:r>
        <w:fldChar w:fldCharType="end"/>
      </w:r>
      <w:r>
        <w:t>.</w:t>
      </w:r>
    </w:p>
    <w:p w14:paraId="23BBF43D" w14:textId="3AAE3B5F" w:rsidR="006F4D50" w:rsidRDefault="006F4D50" w:rsidP="00764234">
      <w:r>
        <w:t>Code samples will be made available in the published version of this paper.</w:t>
      </w:r>
    </w:p>
    <w:p w14:paraId="78C64387" w14:textId="7DF8D113" w:rsidR="00AF232E" w:rsidRDefault="00AF232E" w:rsidP="00764234">
      <w:pPr>
        <w:pStyle w:val="Heading2"/>
      </w:pPr>
      <w:r w:rsidRPr="00AF232E">
        <w:t>Competing interests</w:t>
      </w:r>
    </w:p>
    <w:p w14:paraId="23F165A6" w14:textId="587A0A48" w:rsidR="000D36D5" w:rsidRPr="000D36D5" w:rsidRDefault="000D36D5" w:rsidP="00764234">
      <w:r>
        <w:t>We have no conflict of interest to disclose.</w:t>
      </w:r>
    </w:p>
    <w:p w14:paraId="5AFFF120" w14:textId="77777777" w:rsidR="00AF232E" w:rsidRDefault="00AF232E" w:rsidP="00764234">
      <w:pPr>
        <w:pStyle w:val="Heading2"/>
      </w:pPr>
      <w:r>
        <w:t>Funding</w:t>
      </w:r>
    </w:p>
    <w:p w14:paraId="27D23C48" w14:textId="77777777" w:rsidR="00AF232E" w:rsidRDefault="00AF232E" w:rsidP="00764234">
      <w:r w:rsidRPr="00F30CC2">
        <w:t>This work was supported by the Engineering and Physical Sciences Research Council (EPSRC) Doctoral Training Partnership Award</w:t>
      </w:r>
      <w:r>
        <w:t xml:space="preserve"> to DN and CT</w:t>
      </w:r>
      <w:r w:rsidRPr="00F30CC2">
        <w:t xml:space="preserve"> (</w:t>
      </w:r>
      <w:hyperlink r:id="rId18" w:history="1">
        <w:r w:rsidRPr="00052037">
          <w:rPr>
            <w:rStyle w:val="Hyperlink"/>
          </w:rPr>
          <w:t>#2300953</w:t>
        </w:r>
      </w:hyperlink>
      <w:r w:rsidRPr="00F30CC2">
        <w:t>).</w:t>
      </w:r>
    </w:p>
    <w:p w14:paraId="4A5064E5" w14:textId="64681E21" w:rsidR="00AF232E" w:rsidRPr="00F30CC2" w:rsidRDefault="00AF232E" w:rsidP="00764234">
      <w:r w:rsidRPr="00AF232E">
        <w:t>The funding source had no role in study design; the collection, analysis, and interpretation of data; the writing of the report; or the decision to submit the article for publication.</w:t>
      </w:r>
    </w:p>
    <w:p w14:paraId="519563DE" w14:textId="4A8E430F" w:rsidR="00AF232E" w:rsidRDefault="00AF232E" w:rsidP="00764234">
      <w:pPr>
        <w:pStyle w:val="Heading2"/>
      </w:pPr>
      <w:r w:rsidRPr="00AF232E">
        <w:t>Authors' contributions</w:t>
      </w:r>
    </w:p>
    <w:p w14:paraId="3D92E01D" w14:textId="6B6467FF" w:rsidR="00AF232E" w:rsidRDefault="00AF232E" w:rsidP="00764234">
      <w:r w:rsidRPr="00AF232E">
        <w:t>DN and LW defined the scope and designed the methods. DN identified sources for the replication data and obtained quotations for its extraction and provision. DN coded the ML replication, including data cleaning, model creation, data visualisation and analysis in R. This was reviewed by LW. DN and LW undertook the statistical analysis of results, which was further reviewed by HS. DN wrote the initial draft and made updates/contributed to reviews to the manuscript. HS, CT, CM and LW reviewed and proofread subsequent versions of the manuscript prior to submission.</w:t>
      </w:r>
    </w:p>
    <w:p w14:paraId="6ECFAA78" w14:textId="72012CD2" w:rsidR="00AF232E" w:rsidRPr="00AF232E" w:rsidRDefault="00AF232E" w:rsidP="00764234">
      <w:r w:rsidRPr="00AF232E">
        <w:t>All authors contributed to and have approved the final manuscript</w:t>
      </w:r>
      <w:r>
        <w:t>.</w:t>
      </w:r>
    </w:p>
    <w:p w14:paraId="3BF94627" w14:textId="58EA5C0E" w:rsidR="00E4341A" w:rsidRDefault="00E4341A" w:rsidP="00764234">
      <w:pPr>
        <w:pStyle w:val="Heading2"/>
      </w:pPr>
      <w:r>
        <w:t>Acknowledgements</w:t>
      </w:r>
    </w:p>
    <w:p w14:paraId="79BE5DC4" w14:textId="2CA78E61" w:rsidR="00E4341A" w:rsidRPr="00E4341A" w:rsidRDefault="00F30CC2" w:rsidP="00764234">
      <w:r w:rsidRPr="00F30CC2">
        <w:lastRenderedPageBreak/>
        <w:t xml:space="preserve">The authors would like to thank Dr Linda Nichols and Professor Max Birchwood for their support in providing details of NHS Read and drug codes used in the definition of predictors used in the MRCBM study, the replication would not have been possible without their assistance. We also acknowledge the support given by </w:t>
      </w:r>
      <w:proofErr w:type="spellStart"/>
      <w:r w:rsidRPr="00F30CC2">
        <w:t>Dr.</w:t>
      </w:r>
      <w:proofErr w:type="spellEnd"/>
      <w:r w:rsidRPr="00F30CC2">
        <w:t xml:space="preserve"> Hamish Sutcliffe https://orcid.org/0000-0002-2233-1770  in relation to the use of Electronic Health Records by GPs, diagnosis of depression and the impact of the NHS QOF on GP operations.  We thank The Health Improvement Network</w:t>
      </w:r>
      <w:r w:rsidR="008C36F7">
        <w:t xml:space="preserve"> </w:t>
      </w:r>
      <w:r w:rsidR="00A64AFD">
        <w:fldChar w:fldCharType="begin"/>
      </w:r>
      <w:r w:rsidR="00A64AFD">
        <w:instrText xml:space="preserve"> ADDIN ZOTERO_ITEM CSL_CITATION {"citationID":"PHnyk9he","properties":{"formattedCitation":"(50)","plainCitation":"(50)","noteIndex":0},"citationItems":[{"id":2883,"uris":["http://zotero.org/groups/2383339/items/U87JWJJD"],"itemData":{"id":2883,"type":"webpage","container-title":"Cegedim Health Data","language":"en-GB","note":"source: www.cegedim-health-data.com","title":"Cegedim Health Data -","URL":"https://www.cegedim-health-data.com/","accessed":{"date-parts":[["2020",5,12]]}}}],"schema":"https://github.com/citation-style-language/schema/raw/master/csl-citation.json"} </w:instrText>
      </w:r>
      <w:r w:rsidR="00A64AFD">
        <w:fldChar w:fldCharType="separate"/>
      </w:r>
      <w:r w:rsidR="00A64AFD" w:rsidRPr="00A64AFD">
        <w:rPr>
          <w:rFonts w:ascii="Calibri" w:hAnsi="Calibri" w:cs="Calibri"/>
        </w:rPr>
        <w:t>(50)</w:t>
      </w:r>
      <w:r w:rsidR="00A64AFD">
        <w:fldChar w:fldCharType="end"/>
      </w:r>
      <w:r w:rsidRPr="00F30CC2">
        <w:t xml:space="preserve"> for their support in sourcing the data for the replication.</w:t>
      </w:r>
      <w:r w:rsidR="000D0AE4">
        <w:t xml:space="preserve"> </w:t>
      </w:r>
      <w:r w:rsidR="000D0AE4" w:rsidRPr="00393AEC">
        <w:rPr>
          <w:color w:val="0070C0"/>
        </w:rPr>
        <w:t>Finally, we thank the peer reviewers and the BMC editor for their reviews and helpful commentary on this pape</w:t>
      </w:r>
      <w:r w:rsidR="000D0AE4" w:rsidRPr="00FA53F8">
        <w:rPr>
          <w:color w:val="0070C0"/>
        </w:rPr>
        <w:t>r</w:t>
      </w:r>
      <w:r w:rsidR="000D0AE4" w:rsidRPr="00393AEC">
        <w:rPr>
          <w:color w:val="0070C0"/>
        </w:rPr>
        <w:t>.</w:t>
      </w:r>
    </w:p>
    <w:p w14:paraId="2A80C07F" w14:textId="77777777" w:rsidR="00AC50DF" w:rsidRDefault="00AC50DF" w:rsidP="00764234"/>
    <w:p w14:paraId="7D38A777" w14:textId="5EA1A06A" w:rsidR="00E4341A" w:rsidRDefault="00CA066C" w:rsidP="00764234">
      <w:pPr>
        <w:pStyle w:val="Heading1"/>
      </w:pPr>
      <w:r>
        <w:t>References</w:t>
      </w:r>
    </w:p>
    <w:p w14:paraId="3A9F305F" w14:textId="77777777" w:rsidR="00A13401" w:rsidRDefault="0057468F" w:rsidP="00A13401">
      <w:pPr>
        <w:pStyle w:val="Bibliography"/>
      </w:pPr>
      <w:r>
        <w:fldChar w:fldCharType="begin"/>
      </w:r>
      <w:r w:rsidR="006F2576">
        <w:instrText xml:space="preserve"> ADDIN ZOTERO_BIBL {"uncited":[],"omitted":[],"custom":[]} CSL_BIBLIOGRAPHY </w:instrText>
      </w:r>
      <w:r>
        <w:fldChar w:fldCharType="separate"/>
      </w:r>
      <w:r w:rsidR="00A13401">
        <w:t>1.</w:t>
      </w:r>
      <w:r w:rsidR="00A13401">
        <w:tab/>
        <w:t xml:space="preserve">Hasin DS, Sarvet AL, Meyers JL, Saha TD, Ruan WJ, Stohl M, et al. Epidemiology of Adult DSM-5 Major Depressive Disorder and Its Specifiers in the United States. JAMA Psychiatry. 2018 Apr 1;75(4):336–46. </w:t>
      </w:r>
    </w:p>
    <w:p w14:paraId="080F8023" w14:textId="77777777" w:rsidR="00A13401" w:rsidRDefault="00A13401" w:rsidP="00A13401">
      <w:pPr>
        <w:pStyle w:val="Bibliography"/>
      </w:pPr>
      <w:r>
        <w:t>2.</w:t>
      </w:r>
      <w:r>
        <w:tab/>
        <w:t xml:space="preserve">Kessler RC, Bromet EJ. The epidemiology of depression across cultures. Annu Rev Public Health. 2013;34:119–38. </w:t>
      </w:r>
    </w:p>
    <w:p w14:paraId="55B3671A" w14:textId="77777777" w:rsidR="00A13401" w:rsidRDefault="00A13401" w:rsidP="00A13401">
      <w:pPr>
        <w:pStyle w:val="Bibliography"/>
      </w:pPr>
      <w:r>
        <w:t>3.</w:t>
      </w:r>
      <w:r>
        <w:tab/>
        <w:t xml:space="preserve">Whiteford HA, Harris MG, McKeon G, Baxter A, Pennell C, Barendregt JJ, et al. Estimating remission from untreated major depression: a systematic review and meta-analysis. Psychological Medicine. 2013 Aug;43(8):1569–85. </w:t>
      </w:r>
    </w:p>
    <w:p w14:paraId="5E87269C" w14:textId="77777777" w:rsidR="00A13401" w:rsidRDefault="00A13401" w:rsidP="00A13401">
      <w:pPr>
        <w:pStyle w:val="Bibliography"/>
      </w:pPr>
      <w:r>
        <w:t>4.</w:t>
      </w:r>
      <w:r>
        <w:tab/>
        <w:t xml:space="preserve">Ferrari AJ, Charlson FJ, Norman RE, Patten SB, Freedman G, Murray CJL, et al. Burden of Depressive Disorders by Country, Sex, Age, and Year: Findings from the Global Burden of Disease Study 2010. PLOS Medicine. 2013 Nov 5;10(11):e1001547. </w:t>
      </w:r>
    </w:p>
    <w:p w14:paraId="01E12A88" w14:textId="77777777" w:rsidR="00A13401" w:rsidRDefault="00A13401" w:rsidP="00A13401">
      <w:pPr>
        <w:pStyle w:val="Bibliography"/>
      </w:pPr>
      <w:r>
        <w:t>5.</w:t>
      </w:r>
      <w:r>
        <w:tab/>
        <w:t xml:space="preserve">Vigo D, Thornicroft G, Atun R. Estimating the true global burden of mental illness. The Lancet Psychiatry. 2016 Feb 1;3(2):171–8. </w:t>
      </w:r>
    </w:p>
    <w:p w14:paraId="3629608C" w14:textId="77777777" w:rsidR="00A13401" w:rsidRDefault="00A13401" w:rsidP="00A13401">
      <w:pPr>
        <w:pStyle w:val="Bibliography"/>
      </w:pPr>
      <w:r>
        <w:t>6.</w:t>
      </w:r>
      <w:r>
        <w:tab/>
        <w:t xml:space="preserve">Fineberg NA, Haddad PM, Carpenter L, Gannon B, Sharpe R, Young AH, et al. The size, burden and cost of disorders of the brain in the UK. J Psychopharmacol. 2013 Sep 1;27(9):761–70. </w:t>
      </w:r>
    </w:p>
    <w:p w14:paraId="6C69BD17" w14:textId="77777777" w:rsidR="00A13401" w:rsidRDefault="00A13401" w:rsidP="00A13401">
      <w:pPr>
        <w:pStyle w:val="Bibliography"/>
      </w:pPr>
      <w:r>
        <w:t>7.</w:t>
      </w:r>
      <w:r>
        <w:tab/>
        <w:t>McCrone P, Dhanasiri S, Patel A, Knapp M, Lawton-Smith S. Paying the price: the cost of mental health care in England to 2026 [Internet]. The King’s Fund; 2008 [cited 2021 Nov 29]. Available from: https://kclpure.kcl.ac.uk/portal/en/publications/paying-the-price-the-cost-of-mental-health-care-in-england-to-2026(ebb0265b-c5be-4326-96f4-21d4f9ed4744).html</w:t>
      </w:r>
    </w:p>
    <w:p w14:paraId="2F881138" w14:textId="77777777" w:rsidR="00A13401" w:rsidRDefault="00A13401" w:rsidP="00A13401">
      <w:pPr>
        <w:pStyle w:val="Bibliography"/>
      </w:pPr>
      <w:r>
        <w:t>8.</w:t>
      </w:r>
      <w:r>
        <w:tab/>
        <w:t>Bernaras E, Jaureguizar J, Garaigordobil M. Child and Adolescent Depression: A Review of Theories, Evaluation Instruments, Prevention Programs, and Treatments. Frontiers in Psychology [Internet]. 2019 [cited 2022 Dec 13];10. Available from: https://www.frontiersin.org/articles/10.3389/fpsyg.2019.00543</w:t>
      </w:r>
    </w:p>
    <w:p w14:paraId="1209608C" w14:textId="77777777" w:rsidR="00A13401" w:rsidRDefault="00A13401" w:rsidP="00A13401">
      <w:pPr>
        <w:pStyle w:val="Bibliography"/>
      </w:pPr>
      <w:r>
        <w:lastRenderedPageBreak/>
        <w:t>9.</w:t>
      </w:r>
      <w:r>
        <w:tab/>
        <w:t xml:space="preserve">Demir T, Karacetin G, Demir DE, Uysal O. Epidemiology of depression in an urban population of Turkish children and adolescents. Journal of Affective Disorders. 2011 Nov 1;134(1):168–76. </w:t>
      </w:r>
    </w:p>
    <w:p w14:paraId="0CC98E1D" w14:textId="77777777" w:rsidR="00A13401" w:rsidRDefault="00A13401" w:rsidP="00A13401">
      <w:pPr>
        <w:pStyle w:val="Bibliography"/>
      </w:pPr>
      <w:r>
        <w:t>10.</w:t>
      </w:r>
      <w:r>
        <w:tab/>
        <w:t xml:space="preserve">Costello E, Erkanli A, Angold A. Is there an epidemic of child or adolescent depression? Journal of Child Psychology and Psychiatry. 2006;47(12):1263–71. </w:t>
      </w:r>
    </w:p>
    <w:p w14:paraId="2B5DAB4E" w14:textId="77777777" w:rsidR="00A13401" w:rsidRDefault="00A13401" w:rsidP="00A13401">
      <w:pPr>
        <w:pStyle w:val="Bibliography"/>
      </w:pPr>
      <w:r>
        <w:t>11.</w:t>
      </w:r>
      <w:r>
        <w:tab/>
        <w:t xml:space="preserve">McCabe M, Ricciardelli L, Banfield S. Depressive Symptoms and Psychosocial Functioning in Preadolescent Children. Depression Research and Treatment. 2011 Mar 30;2011:e548034. </w:t>
      </w:r>
    </w:p>
    <w:p w14:paraId="43818EBA" w14:textId="77777777" w:rsidR="00A13401" w:rsidRDefault="00A13401" w:rsidP="00A13401">
      <w:pPr>
        <w:pStyle w:val="Bibliography"/>
      </w:pPr>
      <w:r>
        <w:t>12.</w:t>
      </w:r>
      <w:r>
        <w:tab/>
        <w:t xml:space="preserve">Goodwin RD, Dierker LC, Wu M, Galea S, Hoven CW, Weinberger AH. Trends in U.S. Depression Prevalence From 2015 to 2020: The Widening Treatment Gap. Am J Prev Med. 2022 Nov;63(5):726–33. </w:t>
      </w:r>
    </w:p>
    <w:p w14:paraId="5C4D42AC" w14:textId="77777777" w:rsidR="00A13401" w:rsidRDefault="00A13401" w:rsidP="00A13401">
      <w:pPr>
        <w:pStyle w:val="Bibliography"/>
      </w:pPr>
      <w:r>
        <w:t>13.</w:t>
      </w:r>
      <w:r>
        <w:tab/>
        <w:t>Young people’s well-being in the UK - Office for National Statistics [Internet]. [cited 2022 Dec 13]. Available from: https://www.ons.gov.uk/peoplepopulationandcommunity/wellbeing/bulletins/youngpeopleswellbeingintheuk/2020</w:t>
      </w:r>
    </w:p>
    <w:p w14:paraId="1B0396CE" w14:textId="77777777" w:rsidR="00A13401" w:rsidRDefault="00A13401" w:rsidP="00A13401">
      <w:pPr>
        <w:pStyle w:val="Bibliography"/>
      </w:pPr>
      <w:r>
        <w:t>14.</w:t>
      </w:r>
      <w:r>
        <w:tab/>
        <w:t xml:space="preserve">Fergusson DM, Horwood LJ, Ridder EM, Beautrais AL. Subthreshold Depression in Adolescence and Mental Health Outcomes in Adulthood. Archives of General Psychiatry. 2005 Jan 1;62(1):66–72. </w:t>
      </w:r>
    </w:p>
    <w:p w14:paraId="73BD19E6" w14:textId="77777777" w:rsidR="00A13401" w:rsidRDefault="00A13401" w:rsidP="00A13401">
      <w:pPr>
        <w:pStyle w:val="Bibliography"/>
      </w:pPr>
      <w:r>
        <w:t>15.</w:t>
      </w:r>
      <w:r>
        <w:tab/>
        <w:t xml:space="preserve">Harrington R, Fudge H, Rutter M, Pickles A, Hill J. Adult outcomes of childhood and adolescent depression. I. Psychiatric status. Arch Gen Psychiatry. 1990 May;47(5):465–73. </w:t>
      </w:r>
    </w:p>
    <w:p w14:paraId="38978E2E" w14:textId="77777777" w:rsidR="00A13401" w:rsidRDefault="00A13401" w:rsidP="00A13401">
      <w:pPr>
        <w:pStyle w:val="Bibliography"/>
      </w:pPr>
      <w:r>
        <w:t>16.</w:t>
      </w:r>
      <w:r>
        <w:tab/>
        <w:t xml:space="preserve">van Lang NDJ, Ferdinand RF, Verhulst FC. Predictors of future depression in early and late adolescence. J Affect Disord. 2007 Jan;97(1–3):137–44. </w:t>
      </w:r>
    </w:p>
    <w:p w14:paraId="29365DD8" w14:textId="77777777" w:rsidR="00A13401" w:rsidRDefault="00A13401" w:rsidP="00A13401">
      <w:pPr>
        <w:pStyle w:val="Bibliography"/>
      </w:pPr>
      <w:r>
        <w:t>17.</w:t>
      </w:r>
      <w:r>
        <w:tab/>
        <w:t xml:space="preserve">Wilcox HC, Anthony JC. Child and adolescent clinical features as forerunners of adult-onset major depressive disorder: retrospective evidence from an epidemiological sample. Journal of Affective Disorders. 2004 Oct 1;82(1):9–20. </w:t>
      </w:r>
    </w:p>
    <w:p w14:paraId="25BAE6DC" w14:textId="77777777" w:rsidR="00A13401" w:rsidRDefault="00A13401" w:rsidP="00A13401">
      <w:pPr>
        <w:pStyle w:val="Bibliography"/>
      </w:pPr>
      <w:r>
        <w:t>18.</w:t>
      </w:r>
      <w:r>
        <w:tab/>
        <w:t xml:space="preserve">Davey CG, McGorry PD. Early intervention for depression in young people: a blind spot in mental health care – Authors’ reply. The Lancet Psychiatry. 2019 Apr 1;6(4):283–4. </w:t>
      </w:r>
    </w:p>
    <w:p w14:paraId="0E375307" w14:textId="77777777" w:rsidR="00A13401" w:rsidRDefault="00A13401" w:rsidP="00A13401">
      <w:pPr>
        <w:pStyle w:val="Bibliography"/>
      </w:pPr>
      <w:r>
        <w:t>19.</w:t>
      </w:r>
      <w:r>
        <w:tab/>
        <w:t xml:space="preserve">O’Brien D, Harvey K, Howse J, Reardon T, Creswell C. Barriers to managing child and adolescent mental health problems: a systematic review of primary care practitioners’ perceptions. Br J Gen Pract. 2016 Oct 1;66(651):e693–707. </w:t>
      </w:r>
    </w:p>
    <w:p w14:paraId="7B78E37E" w14:textId="77777777" w:rsidR="00A13401" w:rsidRDefault="00A13401" w:rsidP="00A13401">
      <w:pPr>
        <w:pStyle w:val="Bibliography"/>
      </w:pPr>
      <w:r>
        <w:t>20.</w:t>
      </w:r>
      <w:r>
        <w:tab/>
        <w:t xml:space="preserve">Cybulski L, Ashcroft DM, Carr MJ, Garg S, Chew-Graham CA, Kapur N, et al. Temporal trends in annual incidence rates for psychiatric disorders and self-harm among children and adolescents in the UK, 2003–2018. BMC Psychiatry. 2021 May 3;21(1):229. </w:t>
      </w:r>
    </w:p>
    <w:p w14:paraId="67BC6291" w14:textId="77777777" w:rsidR="00A13401" w:rsidRDefault="00A13401" w:rsidP="00A13401">
      <w:pPr>
        <w:pStyle w:val="Bibliography"/>
      </w:pPr>
      <w:r>
        <w:t>21.</w:t>
      </w:r>
      <w:r>
        <w:tab/>
        <w:t xml:space="preserve">Richardson LP, Russo JE, Lozano P, McCauley E, Katon W. Factors Associated with Detection and Receipt of Treatment for Youth with Depression and Anxiety Disorders. Academic Pediatrics. 2010 Jan 1;10(1):36–40. </w:t>
      </w:r>
    </w:p>
    <w:p w14:paraId="411E3003" w14:textId="77777777" w:rsidR="00A13401" w:rsidRDefault="00A13401" w:rsidP="00A13401">
      <w:pPr>
        <w:pStyle w:val="Bibliography"/>
      </w:pPr>
      <w:r>
        <w:t>22.</w:t>
      </w:r>
      <w:r>
        <w:tab/>
        <w:t xml:space="preserve">Jha AK, Doolan D, Grandt D, Scott T, Bates DW. The use of health information technology in seven nations. International Journal of Medical Informatics. 2008 Dec 1;77(12):848–54. </w:t>
      </w:r>
    </w:p>
    <w:p w14:paraId="3E24CD0A" w14:textId="77777777" w:rsidR="00A13401" w:rsidRDefault="00A13401" w:rsidP="00A13401">
      <w:pPr>
        <w:pStyle w:val="Bibliography"/>
      </w:pPr>
      <w:r>
        <w:t>23.</w:t>
      </w:r>
      <w:r>
        <w:tab/>
        <w:t xml:space="preserve">Pike MM, Decker PA, Larson NB, St. Sauver JL, Takahashi PY, Roger VL, et al. Improvement in Cardiovascular Risk Prediction with Electronic Health Records. J of Cardiovasc Trans Res. 2016 Jun 1;9(3):214–22. </w:t>
      </w:r>
    </w:p>
    <w:p w14:paraId="24DACC54" w14:textId="77777777" w:rsidR="00A13401" w:rsidRDefault="00A13401" w:rsidP="00A13401">
      <w:pPr>
        <w:pStyle w:val="Bibliography"/>
      </w:pPr>
      <w:r>
        <w:lastRenderedPageBreak/>
        <w:t>24.</w:t>
      </w:r>
      <w:r>
        <w:tab/>
        <w:t>QRISK3 [Internet]. [cited 2021 Oct 27]. Available from: https://qrisk.org/three/index.php</w:t>
      </w:r>
    </w:p>
    <w:p w14:paraId="78DD883B" w14:textId="77777777" w:rsidR="00A13401" w:rsidRDefault="00A13401" w:rsidP="00A13401">
      <w:pPr>
        <w:pStyle w:val="Bibliography"/>
      </w:pPr>
      <w:r>
        <w:t>25.</w:t>
      </w:r>
      <w:r>
        <w:tab/>
        <w:t xml:space="preserve">Klompas M, Eggleston E, McVetta J, Lazarus R, Li L, Platt R. Automated Detection and Classification of Type 1 Versus Type 2 Diabetes Using Electronic Health Record Data. Diabetes Care. 2013 Apr 1;36(4):914–21. </w:t>
      </w:r>
    </w:p>
    <w:p w14:paraId="65C037D7" w14:textId="77777777" w:rsidR="00A13401" w:rsidRDefault="00A13401" w:rsidP="00A13401">
      <w:pPr>
        <w:pStyle w:val="Bibliography"/>
      </w:pPr>
      <w:r>
        <w:t>26.</w:t>
      </w:r>
      <w:r>
        <w:tab/>
        <w:t xml:space="preserve">Nori VS, Hane CA, Crown WH, Au R, Burke WJ, Sanghavi DM, et al. Machine learning models to predict onset of dementia: A label learning approach. Alzheimer’s &amp; Dementia: Translational Research &amp; Clinical Interventions. 2019 Jan 1;5:918–25. </w:t>
      </w:r>
    </w:p>
    <w:p w14:paraId="1A2B2F6A" w14:textId="77777777" w:rsidR="00A13401" w:rsidRDefault="00A13401" w:rsidP="00A13401">
      <w:pPr>
        <w:pStyle w:val="Bibliography"/>
      </w:pPr>
      <w:r>
        <w:t>27.</w:t>
      </w:r>
      <w:r>
        <w:tab/>
        <w:t xml:space="preserve">Fusar-Poli P, Oliver D, Spada G, Estrade A, McGuire P. The case for improved transdiagnostic detection of first-episode psychosis: Electronic health record cohort study. Schizophrenia Research. 2021 Feb 1;228:547–54. </w:t>
      </w:r>
    </w:p>
    <w:p w14:paraId="05C6B61A" w14:textId="77777777" w:rsidR="00A13401" w:rsidRDefault="00A13401" w:rsidP="00A13401">
      <w:pPr>
        <w:pStyle w:val="Bibliography"/>
      </w:pPr>
      <w:r>
        <w:t>28.</w:t>
      </w:r>
      <w:r>
        <w:tab/>
        <w:t xml:space="preserve">Raket LL, Jaskolowski J, Kinon BJ, Brasen JC, Jonsson L, Wehnert A, et al. Dynamic ElecTronic hEalth reCord deTection (DETECT) of individuals at risk of a first episode of psychosis: a case-control development and validation study. Lancet Digit Health. 2020 May;2(5):E229–39. </w:t>
      </w:r>
    </w:p>
    <w:p w14:paraId="3344A696" w14:textId="77777777" w:rsidR="00A13401" w:rsidRDefault="00A13401" w:rsidP="00A13401">
      <w:pPr>
        <w:pStyle w:val="Bibliography"/>
      </w:pPr>
      <w:r>
        <w:t>29.</w:t>
      </w:r>
      <w:r>
        <w:tab/>
        <w:t xml:space="preserve">Nemesure MD, Heinz MV, Huang R, Jacobson NC. Predictive modeling of depression and anxiety using electronic health records and a novel machine learning approach with artificial intelligence. Scientific Reports. 2021 Jan 21;11(1):1980. </w:t>
      </w:r>
    </w:p>
    <w:p w14:paraId="6BB7A999" w14:textId="77777777" w:rsidR="00A13401" w:rsidRDefault="00A13401" w:rsidP="00A13401">
      <w:pPr>
        <w:pStyle w:val="Bibliography"/>
      </w:pPr>
      <w:r>
        <w:t>30.</w:t>
      </w:r>
      <w:r>
        <w:tab/>
        <w:t xml:space="preserve">Koning NR, Büchner FL, Leeuwenburgh NA, Paijmans IJ, Dijk DA van D van, Vermeiren RR, et al. Identification of child mental health problems by combining electronic health record information from different primary healthcare professionals: a population-based cohort study. BMJ Open. 2022 Jan 1;12(1):e049151. </w:t>
      </w:r>
    </w:p>
    <w:p w14:paraId="7FF23C01" w14:textId="77777777" w:rsidR="00A13401" w:rsidRDefault="00A13401" w:rsidP="00A13401">
      <w:pPr>
        <w:pStyle w:val="Bibliography"/>
      </w:pPr>
      <w:r>
        <w:t>31.</w:t>
      </w:r>
      <w:r>
        <w:tab/>
        <w:t xml:space="preserve">Haberer JE, Trabin T, Klinkman M. Furthering the reliable and valid measurement of mental health screening, diagnoses, treatment and outcomes through health information technology. General Hospital Psychiatry. 2013 Jul 1;35(4):349–53. </w:t>
      </w:r>
    </w:p>
    <w:p w14:paraId="0AF4E216" w14:textId="77777777" w:rsidR="00A13401" w:rsidRDefault="00A13401" w:rsidP="00A13401">
      <w:pPr>
        <w:pStyle w:val="Bibliography"/>
      </w:pPr>
      <w:r>
        <w:t>32.</w:t>
      </w:r>
      <w:r>
        <w:tab/>
        <w:t xml:space="preserve">Kessler D, Bennewith O, Lewis G, Sharp D. Detection of depression and anxiety in primary care: follow up study. BMJ. 2002 Nov 2;325(7371):1016–7. </w:t>
      </w:r>
    </w:p>
    <w:p w14:paraId="6F9212DF" w14:textId="77777777" w:rsidR="00A13401" w:rsidRDefault="00A13401" w:rsidP="00A13401">
      <w:pPr>
        <w:pStyle w:val="Bibliography"/>
      </w:pPr>
      <w:r>
        <w:t>33.</w:t>
      </w:r>
      <w:r>
        <w:tab/>
        <w:t xml:space="preserve">Mitchell AJ, Rao S, Vaze A. Can general practitioners identify people with distress and mild depression? A meta-analysis of clinical accuracy. Journal of Affective Disorders. 2011 Apr 1;130(1):26–36. </w:t>
      </w:r>
    </w:p>
    <w:p w14:paraId="51EAEDA5" w14:textId="77777777" w:rsidR="00A13401" w:rsidRDefault="00A13401" w:rsidP="00A13401">
      <w:pPr>
        <w:pStyle w:val="Bibliography"/>
      </w:pPr>
      <w:r>
        <w:t>34.</w:t>
      </w:r>
      <w:r>
        <w:tab/>
        <w:t xml:space="preserve">Coyne JC. Replication initiatives will not salvage the trustworthiness of psychology. BMC Psychology. 2016 May 31;4(1):28. </w:t>
      </w:r>
    </w:p>
    <w:p w14:paraId="3CABBDDD" w14:textId="77777777" w:rsidR="00A13401" w:rsidRDefault="00A13401" w:rsidP="00A13401">
      <w:pPr>
        <w:pStyle w:val="Bibliography"/>
      </w:pPr>
      <w:r>
        <w:t>35.</w:t>
      </w:r>
      <w:r>
        <w:tab/>
        <w:t xml:space="preserve">Schmidt FL, Oh IS. The crisis of confidence in research findings in psychology: Is lack of replication the real problem? Or is it something else? Archives of Scientific Psychology. 2016;4:32–7. </w:t>
      </w:r>
    </w:p>
    <w:p w14:paraId="239FA8D8" w14:textId="77777777" w:rsidR="00A13401" w:rsidRDefault="00A13401" w:rsidP="00A13401">
      <w:pPr>
        <w:pStyle w:val="Bibliography"/>
      </w:pPr>
      <w:r>
        <w:t>36.</w:t>
      </w:r>
      <w:r>
        <w:tab/>
        <w:t xml:space="preserve">Tackett JL, Lilienfeld SO, Patrick CJ, Johnson SL, Krueger RF, Miller JD, et al. It’s Time to Broaden the Replicability Conversation: Thoughts for and From Clinical Psychological Science. Perspect Psychol Sci. 2017 Sep 1;12(5):742–56. </w:t>
      </w:r>
    </w:p>
    <w:p w14:paraId="3F1D2CFA" w14:textId="77777777" w:rsidR="00A13401" w:rsidRDefault="00A13401" w:rsidP="00A13401">
      <w:pPr>
        <w:pStyle w:val="Bibliography"/>
      </w:pPr>
      <w:r>
        <w:t>37.</w:t>
      </w:r>
      <w:r>
        <w:tab/>
        <w:t xml:space="preserve">Marigorta UM, Rodríguez JA, Gibson G, Navarro A. Replicability and Prediction: Lessons and Challenges from GWAS. Trends in Genetics. 2018 Jul 1;34(7):504–17. </w:t>
      </w:r>
    </w:p>
    <w:p w14:paraId="5D5349BC" w14:textId="77777777" w:rsidR="00A13401" w:rsidRDefault="00A13401" w:rsidP="00A13401">
      <w:pPr>
        <w:pStyle w:val="Bibliography"/>
      </w:pPr>
      <w:r>
        <w:lastRenderedPageBreak/>
        <w:t>38.</w:t>
      </w:r>
      <w:r>
        <w:tab/>
        <w:t xml:space="preserve">Beam AL, Manrai AK, Ghassemi M. Challenges to the Reproducibility of Machine Learning Models in Health Care. JAMA. 2020 Jan 28;323(4):305. </w:t>
      </w:r>
    </w:p>
    <w:p w14:paraId="5F40A61C" w14:textId="77777777" w:rsidR="00A13401" w:rsidRDefault="00A13401" w:rsidP="00A13401">
      <w:pPr>
        <w:pStyle w:val="Bibliography"/>
      </w:pPr>
      <w:r>
        <w:t>39.</w:t>
      </w:r>
      <w:r>
        <w:tab/>
        <w:t xml:space="preserve">Coiera E, Ammenwerth E, Georgiou A, Magrabi F. Does health informatics have a replication crisis? Journal of the American Medical Informatics Association. 2018 Aug 1;25(8):963–8. </w:t>
      </w:r>
    </w:p>
    <w:p w14:paraId="4E3160D4" w14:textId="77777777" w:rsidR="00A13401" w:rsidRDefault="00A13401" w:rsidP="00A13401">
      <w:pPr>
        <w:pStyle w:val="Bibliography"/>
      </w:pPr>
      <w:r>
        <w:t>40.</w:t>
      </w:r>
      <w:r>
        <w:tab/>
        <w:t xml:space="preserve">Stupple A, Singerman D, Celi LA. The reproducibility crisis in the age of digital medicine. npj Digit Med. 2019 Jan 29;2(1):1–3. </w:t>
      </w:r>
    </w:p>
    <w:p w14:paraId="575C8AFE" w14:textId="77777777" w:rsidR="00A13401" w:rsidRDefault="00A13401" w:rsidP="00A13401">
      <w:pPr>
        <w:pStyle w:val="Bibliography"/>
      </w:pPr>
      <w:r>
        <w:t>41.</w:t>
      </w:r>
      <w:r>
        <w:tab/>
        <w:t xml:space="preserve">Camerer CF, Dreber A, Holzmeister F, Ho TH, Huber J, Johannesson M, et al. Evaluating the replicability of social science experiments in Nature and Science between 2010 and 2015. Nat Hum Behav. 2018 Sep;2(9):637–44. </w:t>
      </w:r>
    </w:p>
    <w:p w14:paraId="144D1448" w14:textId="77777777" w:rsidR="00A13401" w:rsidRDefault="00A13401" w:rsidP="00A13401">
      <w:pPr>
        <w:pStyle w:val="Bibliography"/>
      </w:pPr>
      <w:r>
        <w:t>42.</w:t>
      </w:r>
      <w:r>
        <w:tab/>
        <w:t xml:space="preserve">Nosek BA, Hardwicke TE, Moshontz H, Allard A, Corker KS, Dreber A, et al. Replicability, Robustness, and Reproducibility in Psychological Science. Annual Review of Psychology. 2022;73(1):719–48. </w:t>
      </w:r>
    </w:p>
    <w:p w14:paraId="6C0FD81C" w14:textId="77777777" w:rsidR="00A13401" w:rsidRDefault="00A13401" w:rsidP="00A13401">
      <w:pPr>
        <w:pStyle w:val="Bibliography"/>
      </w:pPr>
      <w:r>
        <w:t>43.</w:t>
      </w:r>
      <w:r>
        <w:tab/>
        <w:t xml:space="preserve">Wu H, Yamal JM, Yaseen A, Maroufy V. Statistics and Machine Learning Methods for EHR Data: From Data Extraction to Data Analytics. CRC Press; 2020. 329 p. </w:t>
      </w:r>
    </w:p>
    <w:p w14:paraId="36E28EBA" w14:textId="77777777" w:rsidR="00A13401" w:rsidRDefault="00A13401" w:rsidP="00A13401">
      <w:pPr>
        <w:pStyle w:val="Bibliography"/>
      </w:pPr>
      <w:r>
        <w:t>44.</w:t>
      </w:r>
      <w:r>
        <w:tab/>
        <w:t xml:space="preserve">Gianfrancesco MA, Tamang S, Yazdany J, Schmajuk G. Potential Biases in Machine Learning Algorithms Using Electronic Health Record Data. JAMA Internal Medicine. 2018 Nov 1;178(11):1544–7. </w:t>
      </w:r>
    </w:p>
    <w:p w14:paraId="2C8A466B" w14:textId="77777777" w:rsidR="00A13401" w:rsidRDefault="00A13401" w:rsidP="00A13401">
      <w:pPr>
        <w:pStyle w:val="Bibliography"/>
      </w:pPr>
      <w:r>
        <w:t>45.</w:t>
      </w:r>
      <w:r>
        <w:tab/>
        <w:t>Gundersen OE, Kjensmo S. State of the Art: Reproducibility in Artificial Intelligence. Proceedings of the AAAI Conference on Artificial Intelligence [Internet]. 2018 Apr 25 [cited 2022 Mar 30];32(1). Available from: https://ojs.aaai.org/index.php/AAAI/article/view/11503</w:t>
      </w:r>
    </w:p>
    <w:p w14:paraId="4FBC5056" w14:textId="77777777" w:rsidR="00A13401" w:rsidRDefault="00A13401" w:rsidP="00A13401">
      <w:pPr>
        <w:pStyle w:val="Bibliography"/>
      </w:pPr>
      <w:r>
        <w:t>46.</w:t>
      </w:r>
      <w:r>
        <w:tab/>
        <w:t xml:space="preserve">Emmery C, Kádár Á, Wiltshire TJ, Hendrickson AT. Towards Replication in Computational Cognitive Modeling: a Machine Learning Perspective. Comput Brain Behav. 2019 Dec 1;2(3):242–6. </w:t>
      </w:r>
    </w:p>
    <w:p w14:paraId="0662C871" w14:textId="77777777" w:rsidR="00A13401" w:rsidRDefault="00A13401" w:rsidP="00A13401">
      <w:pPr>
        <w:pStyle w:val="Bibliography"/>
      </w:pPr>
      <w:r>
        <w:t>47.</w:t>
      </w:r>
      <w:r>
        <w:tab/>
        <w:t>Gibney E. Could machine learning fuel a reproducibility crisis in science? Nature [Internet]. 2022 Jul 26 [cited 2022 Jul 27]; Available from: https://www.nature.com/articles/d41586-022-02035-w</w:t>
      </w:r>
    </w:p>
    <w:p w14:paraId="16B03852" w14:textId="77777777" w:rsidR="00A13401" w:rsidRDefault="00A13401" w:rsidP="00A13401">
      <w:pPr>
        <w:pStyle w:val="Bibliography"/>
      </w:pPr>
      <w:r>
        <w:t>48.</w:t>
      </w:r>
      <w:r>
        <w:tab/>
        <w:t xml:space="preserve">Nichols L, Ryan R, Connor C, Birchwood M, Marshall T. Derivation of a prediction model for a diagnosis of depression in young adults: a matched case–control study using electronic primary care records. Early Intervention in Psychiatry. 2018;12(3):444–55. </w:t>
      </w:r>
    </w:p>
    <w:p w14:paraId="016D6E25" w14:textId="77777777" w:rsidR="00A13401" w:rsidRDefault="00A13401" w:rsidP="00A13401">
      <w:pPr>
        <w:pStyle w:val="Bibliography"/>
      </w:pPr>
      <w:r>
        <w:t>49.</w:t>
      </w:r>
      <w:r>
        <w:tab/>
        <w:t xml:space="preserve">Youyou W, Yang Y, Uzzi B. A discipline-wide investigation of the replicability of Psychology papers over the past two decades. Proc Natl Acad Sci U S A. 2023 Feb 7;120(6):e2208863120. </w:t>
      </w:r>
    </w:p>
    <w:p w14:paraId="5E273870" w14:textId="77777777" w:rsidR="00A13401" w:rsidRDefault="00A13401" w:rsidP="00A13401">
      <w:pPr>
        <w:pStyle w:val="Bibliography"/>
      </w:pPr>
      <w:r>
        <w:t>50.</w:t>
      </w:r>
      <w:r>
        <w:tab/>
        <w:t>Cegedim Health Data [Internet]. [cited 2020 May 12]. Cegedim Health Data -. Available from: https://www.cegedim-health-data.com/</w:t>
      </w:r>
    </w:p>
    <w:p w14:paraId="21AD06F8" w14:textId="77777777" w:rsidR="00A13401" w:rsidRDefault="00A13401" w:rsidP="00A13401">
      <w:pPr>
        <w:pStyle w:val="Bibliography"/>
      </w:pPr>
      <w:r>
        <w:t>51.</w:t>
      </w:r>
      <w:r>
        <w:tab/>
        <w:t xml:space="preserve">Sauerbrei W, Perperoglou A, Schmid M, Abrahamowicz M, Becher H, Binder H, et al. State of the art in selection of variables and functional forms in multivariable analysis—outstanding issues. Diagnostic and Prognostic Research. 2020 Apr 2;4(1):3. </w:t>
      </w:r>
    </w:p>
    <w:p w14:paraId="05F114B7" w14:textId="77777777" w:rsidR="00A13401" w:rsidRDefault="00A13401" w:rsidP="00A13401">
      <w:pPr>
        <w:pStyle w:val="Bibliography"/>
      </w:pPr>
      <w:r>
        <w:t>52.</w:t>
      </w:r>
      <w:r>
        <w:tab/>
        <w:t xml:space="preserve">Derksen S, Keselman HJ. Backward, forward and stepwise automated subset selection algorithms: Frequency of obtaining authentic and noise variables. British Journal of Mathematical and Statistical Psychology. 1992;45(2):265–82. </w:t>
      </w:r>
    </w:p>
    <w:p w14:paraId="0CB461F0" w14:textId="77777777" w:rsidR="00A13401" w:rsidRDefault="00A13401" w:rsidP="00A13401">
      <w:pPr>
        <w:pStyle w:val="Bibliography"/>
      </w:pPr>
      <w:r>
        <w:lastRenderedPageBreak/>
        <w:t>53.</w:t>
      </w:r>
      <w:r>
        <w:tab/>
        <w:t xml:space="preserve">HARRELL Jr. FE, Lee KL, Mark DB. Multivariable Prognostic Models: Issues in Developing Models, Evaluating Assumptions and Adequacy, and Measuring and Reducing Errors. Statistics in Medicine. 1996;15(4):361–87. </w:t>
      </w:r>
    </w:p>
    <w:p w14:paraId="7F1DE32A" w14:textId="77777777" w:rsidR="00A13401" w:rsidRDefault="00A13401" w:rsidP="00A13401">
      <w:pPr>
        <w:pStyle w:val="Bibliography"/>
      </w:pPr>
      <w:r>
        <w:t>54.</w:t>
      </w:r>
      <w:r>
        <w:tab/>
        <w:t xml:space="preserve">Steyerberg EW, Vergouwe Y. Towards better clinical prediction models: seven steps for development and an ABCD for validation. European Heart Journal. 2014 Aug 1;35(29):1925–31. </w:t>
      </w:r>
    </w:p>
    <w:p w14:paraId="38A0BE31" w14:textId="77777777" w:rsidR="00A13401" w:rsidRDefault="00A13401" w:rsidP="00A13401">
      <w:pPr>
        <w:pStyle w:val="Bibliography"/>
      </w:pPr>
      <w:r>
        <w:t>55.</w:t>
      </w:r>
      <w:r>
        <w:tab/>
        <w:t xml:space="preserve">Wiegand RE. Performance of using multiple stepwise algorithms for variable selection. Statistics in Medicine. 2010;29(15):1647–59. </w:t>
      </w:r>
    </w:p>
    <w:p w14:paraId="09AD2210" w14:textId="77777777" w:rsidR="00A13401" w:rsidRDefault="00A13401" w:rsidP="00A13401">
      <w:pPr>
        <w:pStyle w:val="Bibliography"/>
      </w:pPr>
      <w:r>
        <w:t>56.</w:t>
      </w:r>
      <w:r>
        <w:tab/>
        <w:t>Collins GS, Reitsma JB, Altman DG, Moons KGM. Transparent reporting of a multivariable prediction model for individual prognosis or diagnosis (TRIPOD): the TRIPOD statement. BMJ: British Medical Journal [Internet]. 2015 [cited 2021 Apr 26];350. Available from: https://www.jstor.org/stable/26517836</w:t>
      </w:r>
    </w:p>
    <w:p w14:paraId="5200857F" w14:textId="77777777" w:rsidR="00A13401" w:rsidRDefault="00A13401" w:rsidP="00A13401">
      <w:pPr>
        <w:pStyle w:val="Bibliography"/>
      </w:pPr>
      <w:r>
        <w:t>57.</w:t>
      </w:r>
      <w:r>
        <w:tab/>
        <w:t>SCIMP Guide to Read Codes | Primary Care Informatics [Internet]. [cited 2021 Nov 12]. Available from: https://www.scimp.scot.nhs.uk/better-information/clinical-coding/scimp-guide-to-read-codes</w:t>
      </w:r>
    </w:p>
    <w:p w14:paraId="790E3020" w14:textId="77777777" w:rsidR="00A13401" w:rsidRDefault="00A13401" w:rsidP="00A13401">
      <w:pPr>
        <w:pStyle w:val="Bibliography"/>
      </w:pPr>
      <w:r>
        <w:t>58.</w:t>
      </w:r>
      <w:r>
        <w:tab/>
        <w:t>Flom P. Medium. 2018 [cited 2021 Sep 9]. Stopping stepwise: Why stepwise selection is bad and what you should use instead. Available from: https://towardsdatascience.com/stopping-stepwise-why-stepwise-selection-is-bad-and-what-you-should-use-instead-90818b3f52df</w:t>
      </w:r>
    </w:p>
    <w:p w14:paraId="30593768" w14:textId="77777777" w:rsidR="00A13401" w:rsidRDefault="00A13401" w:rsidP="00A13401">
      <w:pPr>
        <w:pStyle w:val="Bibliography"/>
      </w:pPr>
      <w:r>
        <w:t>59.</w:t>
      </w:r>
      <w:r>
        <w:tab/>
        <w:t>Health [Internet]. 2015 [cited 2023 Sep 13]. GP Contract Information and Contract Documents | Department of Health. Available from: https://www.health-ni.gov.uk/articles/gp-contract</w:t>
      </w:r>
    </w:p>
    <w:p w14:paraId="69AF6D51" w14:textId="77777777" w:rsidR="00A13401" w:rsidRDefault="00A13401" w:rsidP="00A13401">
      <w:pPr>
        <w:pStyle w:val="Bibliography"/>
      </w:pPr>
      <w:r>
        <w:t>60.</w:t>
      </w:r>
      <w:r>
        <w:tab/>
        <w:t>Depression in adults: recognition and management | Guidance | NICE [Internet]. NICE; 2009 [cited 2023 Feb 20]. Available from: https://www.nice.org.uk/guidance/cg90</w:t>
      </w:r>
    </w:p>
    <w:p w14:paraId="0A01A2C8" w14:textId="77777777" w:rsidR="00A13401" w:rsidRDefault="00A13401" w:rsidP="00A13401">
      <w:pPr>
        <w:pStyle w:val="Bibliography"/>
      </w:pPr>
      <w:r>
        <w:t>61.</w:t>
      </w:r>
      <w:r>
        <w:tab/>
        <w:t xml:space="preserve">Kendrick T, Stuart B, Newell C, Geraghty AWA, Moore M. Changes in rates of recorded depression in English primary care 2003–2013: Time trend analyses of effects of the economic recession, and the GP contract quality outcomes framework (QOF). Journal of Affective Disorders. 2015 Jul 15;180:68–78. </w:t>
      </w:r>
    </w:p>
    <w:p w14:paraId="7BCE8AC6" w14:textId="77777777" w:rsidR="00A13401" w:rsidRDefault="00A13401" w:rsidP="00A13401">
      <w:pPr>
        <w:pStyle w:val="Bibliography"/>
      </w:pPr>
      <w:r>
        <w:t>62.</w:t>
      </w:r>
      <w:r>
        <w:tab/>
        <w:t xml:space="preserve">Mitchell C, Dwyer R, Hagan T, Mathers N. Impact of the QOF and the NICE guideline in the diagnosis andmanagement of depression: a qualitative study. Br J Gen Pract. 2011 May 1;61(586):e279–89. </w:t>
      </w:r>
    </w:p>
    <w:p w14:paraId="3DAED001" w14:textId="77777777" w:rsidR="00A13401" w:rsidRDefault="00A13401" w:rsidP="00A13401">
      <w:pPr>
        <w:pStyle w:val="Bibliography"/>
      </w:pPr>
      <w:r>
        <w:t>63.</w:t>
      </w:r>
      <w:r>
        <w:tab/>
        <w:t xml:space="preserve">Toner R, Snape C, Acton S, Blenkiron P. Do general practitioners adhere to NICE guidelines for depression? Systematic Questionnaire Survey. Primary Health Care Research &amp; Development. 2010 Apr;11(2):123–31. </w:t>
      </w:r>
    </w:p>
    <w:p w14:paraId="766E9CCA" w14:textId="77777777" w:rsidR="00A13401" w:rsidRDefault="00A13401" w:rsidP="00A13401">
      <w:pPr>
        <w:pStyle w:val="Bibliography"/>
      </w:pPr>
      <w:r>
        <w:t>64.</w:t>
      </w:r>
      <w:r>
        <w:tab/>
        <w:t xml:space="preserve">Riley RD, Collins GS. Stability of clinical prediction models developed using statistical or machine learning methods. Biometrical Journal. n/a(n/a):2200302. </w:t>
      </w:r>
    </w:p>
    <w:p w14:paraId="0C81D6D7" w14:textId="77777777" w:rsidR="00A13401" w:rsidRDefault="00A13401" w:rsidP="00A13401">
      <w:pPr>
        <w:pStyle w:val="Bibliography"/>
      </w:pPr>
      <w:r>
        <w:t>65.</w:t>
      </w:r>
      <w:r>
        <w:tab/>
        <w:t xml:space="preserve">van der Ploeg T, Austin PC, Steyerberg EW. Modern modelling techniques are data hungry: a simulation study for predicting dichotomous endpoints. BMC Medical Research Methodology. 2014 Dec 22;14(1):137. </w:t>
      </w:r>
    </w:p>
    <w:p w14:paraId="6C1BA77B" w14:textId="77777777" w:rsidR="00A13401" w:rsidRDefault="00A13401" w:rsidP="00A13401">
      <w:pPr>
        <w:pStyle w:val="Bibliography"/>
      </w:pPr>
      <w:r>
        <w:t>66.</w:t>
      </w:r>
      <w:r>
        <w:tab/>
        <w:t xml:space="preserve">Koning NR, Büchner FL, Vermeiren RRJM, Crone MR, Numans ME. Identification of children at risk for mental health problems in primary care—Development of a prediction model with routine health care data. EClinicalMedicine. 2019 Oct 1;15:89–97. </w:t>
      </w:r>
    </w:p>
    <w:p w14:paraId="7BF50E6B" w14:textId="77777777" w:rsidR="00A13401" w:rsidRDefault="00A13401" w:rsidP="00A13401">
      <w:pPr>
        <w:pStyle w:val="Bibliography"/>
      </w:pPr>
      <w:r>
        <w:lastRenderedPageBreak/>
        <w:t>67.</w:t>
      </w:r>
      <w:r>
        <w:tab/>
        <w:t xml:space="preserve">Sutherland AM, Nicholls J, Bao J, Clarke H. Overlaps in pharmacology for the treatment of chronic pain and mental health disorders. Progress in Neuro-Psychopharmacology and Biological Psychiatry. 2018 Dec 20;87:290–7. </w:t>
      </w:r>
    </w:p>
    <w:p w14:paraId="03371F14" w14:textId="77777777" w:rsidR="00A13401" w:rsidRDefault="00A13401" w:rsidP="00A13401">
      <w:pPr>
        <w:pStyle w:val="Bibliography"/>
      </w:pPr>
      <w:r>
        <w:t>68.</w:t>
      </w:r>
      <w:r>
        <w:tab/>
        <w:t xml:space="preserve">Urits I, Peck J, Orhurhu MS, Wolf J, Patel R, Orhurhu V, et al. Off-label Antidepressant Use for Treatment and Management of Chronic Pain: Evolving Understanding and Comprehensive Review. Curr Pain Headache Rep. 2019 Jul 29;23(9):66. </w:t>
      </w:r>
    </w:p>
    <w:p w14:paraId="74AFEDA5" w14:textId="77777777" w:rsidR="00A13401" w:rsidRDefault="00A13401" w:rsidP="00A13401">
      <w:pPr>
        <w:pStyle w:val="Bibliography"/>
      </w:pPr>
      <w:r>
        <w:t>69.</w:t>
      </w:r>
      <w:r>
        <w:tab/>
        <w:t xml:space="preserve">Brakoulias V, Starcevic V, Albert U, Arumugham SS, Bailey BE, Belloch A, et al. Treatments used for obsessive–compulsive disorder—An international perspective. Human Psychopharmacology: Clinical and Experimental. 2019;34(1):e2686. </w:t>
      </w:r>
    </w:p>
    <w:p w14:paraId="1C3CD9AB" w14:textId="77777777" w:rsidR="00A13401" w:rsidRDefault="00A13401" w:rsidP="00A13401">
      <w:pPr>
        <w:pStyle w:val="Bibliography"/>
      </w:pPr>
      <w:r>
        <w:t>70.</w:t>
      </w:r>
      <w:r>
        <w:tab/>
        <w:t xml:space="preserve">Del Casale A, Sorice S, Padovano A, Simmaco M, Ferracuti S, Lamis DA, et al. Psychopharmacological Treatment of Obsessive-Compulsive Disorder (OCD). Current Neuropharmacology. 2019 Aug 1;17(8):710–36. </w:t>
      </w:r>
    </w:p>
    <w:p w14:paraId="65772FF0" w14:textId="77777777" w:rsidR="00A13401" w:rsidRDefault="00A13401" w:rsidP="00A13401">
      <w:pPr>
        <w:pStyle w:val="Bibliography"/>
      </w:pPr>
      <w:r>
        <w:t>71.</w:t>
      </w:r>
      <w:r>
        <w:tab/>
        <w:t xml:space="preserve">Abdallah CG, Averill LA, Akiki TJ, Raza M, Averill CL, Gomaa H, et al. The Neurobiology and Pharmacotherapy of Posttraumatic Stress Disorder. Annu Rev Pharmacol Toxicol. 2019 Jan 1;59:171–89. </w:t>
      </w:r>
    </w:p>
    <w:p w14:paraId="2876FA95" w14:textId="77777777" w:rsidR="00A13401" w:rsidRDefault="00A13401" w:rsidP="00A13401">
      <w:pPr>
        <w:pStyle w:val="Bibliography"/>
      </w:pPr>
      <w:r>
        <w:t>72.</w:t>
      </w:r>
      <w:r>
        <w:tab/>
        <w:t xml:space="preserve">Ehret M. Treatment of posttraumatic stress disorder: Focus on pharmacotherapy. Mental Health Clinician. 2019 Nov 1;9(6):373–82. </w:t>
      </w:r>
    </w:p>
    <w:p w14:paraId="7777EB49" w14:textId="77777777" w:rsidR="00A13401" w:rsidRDefault="00A13401" w:rsidP="00A13401">
      <w:pPr>
        <w:pStyle w:val="Bibliography"/>
      </w:pPr>
      <w:r>
        <w:t>73.</w:t>
      </w:r>
      <w:r>
        <w:tab/>
        <w:t xml:space="preserve">Bandelow B, Michaelis S, Wedekind D. Treatment of anxiety disorders. Dialogues Clin Neurosci. 2017 Jun;19(2):93–107. </w:t>
      </w:r>
    </w:p>
    <w:p w14:paraId="4E8A4275" w14:textId="77777777" w:rsidR="00A13401" w:rsidRDefault="00A13401" w:rsidP="00A13401">
      <w:pPr>
        <w:pStyle w:val="Bibliography"/>
      </w:pPr>
      <w:r>
        <w:t>74.</w:t>
      </w:r>
      <w:r>
        <w:tab/>
        <w:t xml:space="preserve">Ströhle A, Gensichen J, Domschke K. The Diagnosis and Treatment of Anxiety Disorders. Dtsch Arztebl Int. 2018 Sep;115(37):611–20. </w:t>
      </w:r>
    </w:p>
    <w:p w14:paraId="292474EC" w14:textId="77777777" w:rsidR="00A13401" w:rsidRDefault="00A13401" w:rsidP="00A13401">
      <w:pPr>
        <w:pStyle w:val="Bibliography"/>
      </w:pPr>
      <w:r>
        <w:t>75.</w:t>
      </w:r>
      <w:r>
        <w:tab/>
        <w:t xml:space="preserve">Braüner JV, Johansen LM, Roesbjerg T, Pagsberg AK. Off-Label Prescription of Psychopharmacological Drugs in Child and Adolescent Psychiatry. Journal of Clinical Psychopharmacology. 2016 Oct;36(5):500–7. </w:t>
      </w:r>
    </w:p>
    <w:p w14:paraId="76A64338" w14:textId="77777777" w:rsidR="00A13401" w:rsidRDefault="00A13401" w:rsidP="00A13401">
      <w:pPr>
        <w:pStyle w:val="Bibliography"/>
      </w:pPr>
      <w:r>
        <w:t>76.</w:t>
      </w:r>
      <w:r>
        <w:tab/>
        <w:t xml:space="preserve">Schröder C, Dörks M, Kollhorst B, Blenk T, Dittmann RW, Garbe E, et al. Extent and risks of antidepressant off-label use in children and adolescents in Germany between 2004 and 2011. Pharmacoepidemiology and Drug Safety. 2017;26(11):1395–402. </w:t>
      </w:r>
    </w:p>
    <w:p w14:paraId="636DB21A" w14:textId="77777777" w:rsidR="00A13401" w:rsidRDefault="00A13401" w:rsidP="00A13401">
      <w:pPr>
        <w:pStyle w:val="Bibliography"/>
      </w:pPr>
      <w:r>
        <w:t>77.</w:t>
      </w:r>
      <w:r>
        <w:tab/>
        <w:t xml:space="preserve">Sarginson J, Webb RT, Stocks SJ, Esmail A, Garg S, Ashcroft DM. Temporal trends in antidepressant prescribing to children in UK primary care, 2000–2015. Journal of Affective Disorders. 2017 Mar 1;210:312–8. </w:t>
      </w:r>
    </w:p>
    <w:p w14:paraId="02568BE8" w14:textId="77777777" w:rsidR="00A13401" w:rsidRDefault="00A13401" w:rsidP="00A13401">
      <w:pPr>
        <w:pStyle w:val="Bibliography"/>
      </w:pPr>
      <w:r>
        <w:t>78.</w:t>
      </w:r>
      <w:r>
        <w:tab/>
        <w:t xml:space="preserve">Kontopantelis E, Panagioti M, Farragher T, Munford LA, Parisi R, Planner C, et al. Consultation patterns and frequent attenders in UK primary care from 2000 to 2019: a retrospective cohort analysis of consultation events across 845 general practices. BMJ Open. 2021 Dec 1;11(12):e054666. </w:t>
      </w:r>
    </w:p>
    <w:p w14:paraId="4D41EB71" w14:textId="77777777" w:rsidR="00A13401" w:rsidRDefault="00A13401" w:rsidP="00A13401">
      <w:pPr>
        <w:pStyle w:val="Bibliography"/>
      </w:pPr>
      <w:r>
        <w:t>79.</w:t>
      </w:r>
      <w:r>
        <w:tab/>
        <w:t xml:space="preserve">Kasthurirathne SN, Biondich PG, Grannis SJ, Purkayastha S, Vest JR, Jones JF. Identification of Patients in Need of Advanced Care for Depression Using Data Extracted From a Statewide Health Information Exchange: A Machine Learning Approach. Journal of Medical Internet Research. 2019;21(7):e13809. </w:t>
      </w:r>
    </w:p>
    <w:p w14:paraId="74F235AD" w14:textId="77777777" w:rsidR="00A13401" w:rsidRDefault="00A13401" w:rsidP="00A13401">
      <w:pPr>
        <w:pStyle w:val="Bibliography"/>
      </w:pPr>
      <w:r>
        <w:lastRenderedPageBreak/>
        <w:t>80.</w:t>
      </w:r>
      <w:r>
        <w:tab/>
        <w:t xml:space="preserve">Koning NR, Büchner FL, Vermeiren RRJM, Crone MR, Numans ME. Identification of children at risk for mental health problems in primary care—Development of a prediction model with routine health care data. EClinicalMedicine. 2019 Oct 1;15:89–97. </w:t>
      </w:r>
    </w:p>
    <w:p w14:paraId="0B0226B6" w14:textId="77777777" w:rsidR="00A13401" w:rsidRDefault="00A13401" w:rsidP="00A13401">
      <w:pPr>
        <w:pStyle w:val="Bibliography"/>
      </w:pPr>
      <w:r>
        <w:t>81.</w:t>
      </w:r>
      <w:r>
        <w:tab/>
        <w:t xml:space="preserve">Półchłopek O, Koning NR, Büchner FL, Crone MR, Numans ME, Hoogendoorn M. Quantitative and temporal approach to utilising electronic medical records from general practices in mental health prediction. Computers in Biology and Medicine. 2020 Oct 1;125:103973. </w:t>
      </w:r>
    </w:p>
    <w:p w14:paraId="6C93C724" w14:textId="77777777" w:rsidR="00A13401" w:rsidRDefault="00A13401" w:rsidP="00A13401">
      <w:pPr>
        <w:pStyle w:val="Bibliography"/>
      </w:pPr>
      <w:r>
        <w:t>82.</w:t>
      </w:r>
      <w:r>
        <w:tab/>
        <w:t xml:space="preserve">Christodoulou E, Ma J, Collins GS, Steyerberg EW, Verbakel JY, Van Calster B. A systematic review shows no performance benefit of machine learning over logistic regression for clinical prediction models. Journal of Clinical Epidemiology. 2019 Jun 1;110:12–22. </w:t>
      </w:r>
    </w:p>
    <w:p w14:paraId="7C4BA4AA" w14:textId="77777777" w:rsidR="00A13401" w:rsidRDefault="00A13401" w:rsidP="00A13401">
      <w:pPr>
        <w:pStyle w:val="Bibliography"/>
      </w:pPr>
      <w:r>
        <w:t>83.</w:t>
      </w:r>
      <w:r>
        <w:tab/>
        <w:t xml:space="preserve">Akoglu H. User’s guide to correlation coefficients. Turk J Emerg Med. 2018 Aug 7;18(3):91–3. </w:t>
      </w:r>
    </w:p>
    <w:p w14:paraId="60E3E2EA" w14:textId="11863D87" w:rsidR="00CA066C" w:rsidRDefault="0057468F" w:rsidP="00764234">
      <w:r>
        <w:fldChar w:fldCharType="end"/>
      </w:r>
    </w:p>
    <w:p w14:paraId="72CE20AE" w14:textId="77777777" w:rsidR="001158C8" w:rsidRDefault="001158C8" w:rsidP="00764234"/>
    <w:p w14:paraId="748C92CA" w14:textId="77777777" w:rsidR="001158C8" w:rsidRDefault="001158C8" w:rsidP="00764234"/>
    <w:p w14:paraId="1CA6F1A9" w14:textId="77777777" w:rsidR="001158C8" w:rsidRPr="00CA066C" w:rsidRDefault="001158C8" w:rsidP="00764234"/>
    <w:p w14:paraId="1E1B42CA" w14:textId="09B03C9C" w:rsidR="007435E5" w:rsidRDefault="0089241A" w:rsidP="00764234">
      <w:pPr>
        <w:pStyle w:val="Heading1"/>
      </w:pPr>
      <w:r>
        <w:t>Appendices</w:t>
      </w:r>
    </w:p>
    <w:p w14:paraId="109D9E78" w14:textId="59B744F3" w:rsidR="00D27AB1" w:rsidRDefault="00D27AB1" w:rsidP="00764234">
      <w:pPr>
        <w:pStyle w:val="Heading2"/>
      </w:pPr>
      <w:r>
        <w:t>Appendix A</w:t>
      </w:r>
      <w:r w:rsidR="004F1689">
        <w:t xml:space="preserve"> </w:t>
      </w:r>
      <w:r w:rsidR="0095143F">
        <w:t>–</w:t>
      </w:r>
      <w:r w:rsidR="004F1689">
        <w:t xml:space="preserve"> </w:t>
      </w:r>
      <w:r>
        <w:t>Predictors</w:t>
      </w:r>
      <w:r w:rsidR="0095143F">
        <w:t xml:space="preserve"> (Exposure variables)</w:t>
      </w:r>
    </w:p>
    <w:p w14:paraId="107F2817" w14:textId="53956D3C" w:rsidR="00E923B2" w:rsidRPr="000B6C54" w:rsidRDefault="00E923B2" w:rsidP="00764234">
      <w:pPr>
        <w:rPr>
          <w:b/>
          <w:bCs/>
        </w:rPr>
      </w:pPr>
      <w:bookmarkStart w:id="7" w:name="_Toc98322092"/>
      <w:bookmarkStart w:id="8" w:name="_Toc115959749"/>
      <w:r w:rsidRPr="000B6C54">
        <w:rPr>
          <w:b/>
          <w:bCs/>
        </w:rPr>
        <w:t xml:space="preserve">Table </w:t>
      </w:r>
      <w:r w:rsidRPr="000B6C54">
        <w:rPr>
          <w:b/>
          <w:bCs/>
        </w:rPr>
        <w:fldChar w:fldCharType="begin"/>
      </w:r>
      <w:r w:rsidRPr="000B6C54">
        <w:rPr>
          <w:b/>
          <w:bCs/>
        </w:rPr>
        <w:instrText xml:space="preserve"> SEQ Table \* ARABIC </w:instrText>
      </w:r>
      <w:r w:rsidRPr="000B6C54">
        <w:rPr>
          <w:b/>
          <w:bCs/>
        </w:rPr>
        <w:fldChar w:fldCharType="separate"/>
      </w:r>
      <w:r w:rsidR="00634DAB" w:rsidRPr="000B6C54">
        <w:rPr>
          <w:b/>
          <w:bCs/>
          <w:noProof/>
        </w:rPr>
        <w:t>4</w:t>
      </w:r>
      <w:r w:rsidRPr="000B6C54">
        <w:rPr>
          <w:b/>
          <w:bCs/>
          <w:noProof/>
        </w:rPr>
        <w:fldChar w:fldCharType="end"/>
      </w:r>
      <w:r w:rsidRPr="000B6C54">
        <w:rPr>
          <w:b/>
          <w:bCs/>
        </w:rPr>
        <w:t xml:space="preserve"> </w:t>
      </w:r>
    </w:p>
    <w:p w14:paraId="7931BDA3" w14:textId="77777777" w:rsidR="00E923B2" w:rsidRPr="000B6C54" w:rsidRDefault="00E923B2" w:rsidP="00764234">
      <w:pPr>
        <w:rPr>
          <w:i/>
          <w:iCs/>
        </w:rPr>
      </w:pPr>
      <w:r w:rsidRPr="000B6C54">
        <w:rPr>
          <w:i/>
          <w:iCs/>
        </w:rPr>
        <w:t>Summary of all predictors used by NRCBM categorised into predictor groups</w:t>
      </w:r>
      <w:bookmarkEnd w:id="7"/>
      <w:bookmarkEnd w:id="8"/>
      <w:r w:rsidRPr="000B6C54">
        <w:rPr>
          <w:i/>
          <w:iCs/>
        </w:rPr>
        <w:t>.</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1701"/>
        <w:gridCol w:w="1701"/>
        <w:gridCol w:w="3119"/>
      </w:tblGrid>
      <w:tr w:rsidR="00E923B2" w:rsidRPr="003D22F3" w14:paraId="3BC05E9A" w14:textId="77777777" w:rsidTr="006A68F1">
        <w:tc>
          <w:tcPr>
            <w:tcW w:w="1276" w:type="dxa"/>
            <w:tcBorders>
              <w:bottom w:val="single" w:sz="4" w:space="0" w:color="auto"/>
            </w:tcBorders>
          </w:tcPr>
          <w:p w14:paraId="04451AC4"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 xml:space="preserve">Predictor Group </w:t>
            </w:r>
          </w:p>
        </w:tc>
        <w:tc>
          <w:tcPr>
            <w:tcW w:w="1418" w:type="dxa"/>
            <w:tcBorders>
              <w:bottom w:val="single" w:sz="4" w:space="0" w:color="auto"/>
            </w:tcBorders>
          </w:tcPr>
          <w:p w14:paraId="6A20911D"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Time</w:t>
            </w:r>
          </w:p>
        </w:tc>
        <w:tc>
          <w:tcPr>
            <w:tcW w:w="1701" w:type="dxa"/>
            <w:tcBorders>
              <w:bottom w:val="single" w:sz="4" w:space="0" w:color="auto"/>
            </w:tcBorders>
          </w:tcPr>
          <w:p w14:paraId="7E6C0369"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Type</w:t>
            </w:r>
          </w:p>
        </w:tc>
        <w:tc>
          <w:tcPr>
            <w:tcW w:w="1701" w:type="dxa"/>
            <w:tcBorders>
              <w:bottom w:val="single" w:sz="4" w:space="0" w:color="auto"/>
            </w:tcBorders>
          </w:tcPr>
          <w:p w14:paraId="10CBD958"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Derivation</w:t>
            </w:r>
          </w:p>
          <w:p w14:paraId="775DC4BB" w14:textId="77777777" w:rsidR="00E923B2" w:rsidRPr="001158C8" w:rsidRDefault="00E923B2" w:rsidP="000B6C54">
            <w:pPr>
              <w:spacing w:line="240" w:lineRule="auto"/>
              <w:ind w:firstLine="0"/>
              <w:rPr>
                <w:rFonts w:asciiTheme="minorHAnsi" w:hAnsiTheme="minorHAnsi" w:cstheme="minorHAnsi"/>
                <w:sz w:val="22"/>
                <w:szCs w:val="22"/>
              </w:rPr>
            </w:pPr>
          </w:p>
        </w:tc>
        <w:tc>
          <w:tcPr>
            <w:tcW w:w="3119" w:type="dxa"/>
            <w:tcBorders>
              <w:bottom w:val="single" w:sz="4" w:space="0" w:color="auto"/>
            </w:tcBorders>
          </w:tcPr>
          <w:p w14:paraId="635129E0" w14:textId="77777777" w:rsidR="00E923B2" w:rsidRPr="003D22F3" w:rsidRDefault="00E923B2" w:rsidP="000B6C54">
            <w:pPr>
              <w:spacing w:line="240" w:lineRule="auto"/>
              <w:ind w:firstLine="0"/>
            </w:pPr>
            <w:r w:rsidRPr="003D22F3">
              <w:t>Predictors</w:t>
            </w:r>
          </w:p>
        </w:tc>
      </w:tr>
      <w:tr w:rsidR="00E923B2" w:rsidRPr="003D22F3" w14:paraId="12EAAB47" w14:textId="77777777" w:rsidTr="006A68F1">
        <w:tc>
          <w:tcPr>
            <w:tcW w:w="1276" w:type="dxa"/>
            <w:tcBorders>
              <w:top w:val="single" w:sz="4" w:space="0" w:color="auto"/>
            </w:tcBorders>
          </w:tcPr>
          <w:p w14:paraId="5DFA06D2"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Any time</w:t>
            </w:r>
          </w:p>
        </w:tc>
        <w:tc>
          <w:tcPr>
            <w:tcW w:w="1418" w:type="dxa"/>
            <w:tcBorders>
              <w:top w:val="single" w:sz="4" w:space="0" w:color="auto"/>
            </w:tcBorders>
          </w:tcPr>
          <w:p w14:paraId="5BE48E10"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Any time prior to index date</w:t>
            </w:r>
          </w:p>
        </w:tc>
        <w:tc>
          <w:tcPr>
            <w:tcW w:w="1701" w:type="dxa"/>
            <w:tcBorders>
              <w:top w:val="single" w:sz="4" w:space="0" w:color="auto"/>
            </w:tcBorders>
          </w:tcPr>
          <w:p w14:paraId="6A2AEB9A"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Categorical</w:t>
            </w:r>
          </w:p>
        </w:tc>
        <w:tc>
          <w:tcPr>
            <w:tcW w:w="1701" w:type="dxa"/>
            <w:tcBorders>
              <w:top w:val="single" w:sz="4" w:space="0" w:color="auto"/>
            </w:tcBorders>
          </w:tcPr>
          <w:p w14:paraId="0B9D7373"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NHS Read code from disorder related list.</w:t>
            </w:r>
          </w:p>
        </w:tc>
        <w:tc>
          <w:tcPr>
            <w:tcW w:w="3119" w:type="dxa"/>
            <w:tcBorders>
              <w:top w:val="single" w:sz="4" w:space="0" w:color="auto"/>
            </w:tcBorders>
          </w:tcPr>
          <w:p w14:paraId="62A71EFC" w14:textId="77777777" w:rsidR="00E923B2" w:rsidRDefault="00E923B2" w:rsidP="000B6C54">
            <w:pPr>
              <w:spacing w:line="240" w:lineRule="auto"/>
              <w:ind w:firstLine="0"/>
            </w:pPr>
            <w:r w:rsidRPr="003D22F3">
              <w:t>Developmental delay, early childhood emotional problems, missed immunizations, neonatal health problems and early/late puberty.</w:t>
            </w:r>
          </w:p>
          <w:p w14:paraId="3262C9F6" w14:textId="77777777" w:rsidR="003D22F3" w:rsidRPr="003D22F3" w:rsidRDefault="003D22F3" w:rsidP="000B6C54">
            <w:pPr>
              <w:spacing w:line="240" w:lineRule="auto"/>
              <w:ind w:firstLine="0"/>
            </w:pPr>
          </w:p>
        </w:tc>
      </w:tr>
      <w:tr w:rsidR="00E923B2" w:rsidRPr="003D22F3" w14:paraId="39E1FB73" w14:textId="77777777" w:rsidTr="006A68F1">
        <w:tc>
          <w:tcPr>
            <w:tcW w:w="1276" w:type="dxa"/>
          </w:tcPr>
          <w:p w14:paraId="4FB96C27"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Two Year</w:t>
            </w:r>
          </w:p>
          <w:p w14:paraId="1776F833" w14:textId="77777777" w:rsidR="00E923B2" w:rsidRPr="001158C8" w:rsidRDefault="00E923B2" w:rsidP="000B6C54">
            <w:pPr>
              <w:spacing w:line="240" w:lineRule="auto"/>
              <w:ind w:firstLine="0"/>
              <w:rPr>
                <w:rFonts w:asciiTheme="minorHAnsi" w:hAnsiTheme="minorHAnsi" w:cstheme="minorHAnsi"/>
                <w:sz w:val="22"/>
                <w:szCs w:val="22"/>
              </w:rPr>
            </w:pPr>
          </w:p>
        </w:tc>
        <w:tc>
          <w:tcPr>
            <w:tcW w:w="1418" w:type="dxa"/>
          </w:tcPr>
          <w:p w14:paraId="4A1C82CF"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Within two years prior to index date</w:t>
            </w:r>
          </w:p>
        </w:tc>
        <w:tc>
          <w:tcPr>
            <w:tcW w:w="1701" w:type="dxa"/>
          </w:tcPr>
          <w:p w14:paraId="42D32793"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Categorical</w:t>
            </w:r>
          </w:p>
        </w:tc>
        <w:tc>
          <w:tcPr>
            <w:tcW w:w="1701" w:type="dxa"/>
          </w:tcPr>
          <w:p w14:paraId="39A20D37"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NHS Read code and/or disorder drug code list</w:t>
            </w:r>
          </w:p>
        </w:tc>
        <w:tc>
          <w:tcPr>
            <w:tcW w:w="3119" w:type="dxa"/>
          </w:tcPr>
          <w:p w14:paraId="18E1D684"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Anxiety, low mood,</w:t>
            </w:r>
          </w:p>
          <w:p w14:paraId="38E4163B"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 xml:space="preserve">tiredness, loss of enjoyment, too little sleep, too much sleep, eating disorders, weight loss, weight gain, bed wetting, excessive sweating, self-harm, headache, dyspepsia, dysmenorrhea, abdominal pain, </w:t>
            </w:r>
            <w:r w:rsidRPr="001158C8">
              <w:rPr>
                <w:rFonts w:asciiTheme="minorHAnsi" w:hAnsiTheme="minorHAnsi" w:cstheme="minorHAnsi"/>
                <w:sz w:val="22"/>
                <w:szCs w:val="22"/>
              </w:rPr>
              <w:lastRenderedPageBreak/>
              <w:t xml:space="preserve">back pain, ill-defined conditions, other somatic symptoms, skin problems, divorce, homelessness, bereavement, unemployment, family history of abuse or neglect, family history of drug misuse, family history of alcohol misuse, family history of depression, abuse/neglect/non-accidental injury, police involvement, other social services involvement, psychosexual problems, school problems, teenage pregnancy, work stress and young carer. Asthma, diabetes, </w:t>
            </w:r>
            <w:proofErr w:type="gramStart"/>
            <w:r w:rsidRPr="001158C8">
              <w:rPr>
                <w:rFonts w:asciiTheme="minorHAnsi" w:hAnsiTheme="minorHAnsi" w:cstheme="minorHAnsi"/>
                <w:sz w:val="22"/>
                <w:szCs w:val="22"/>
              </w:rPr>
              <w:t>dyspepsia</w:t>
            </w:r>
            <w:proofErr w:type="gramEnd"/>
            <w:r w:rsidRPr="001158C8">
              <w:rPr>
                <w:rFonts w:asciiTheme="minorHAnsi" w:hAnsiTheme="minorHAnsi" w:cstheme="minorHAnsi"/>
                <w:sz w:val="22"/>
                <w:szCs w:val="22"/>
              </w:rPr>
              <w:t xml:space="preserve"> and epilepsy.</w:t>
            </w:r>
          </w:p>
          <w:p w14:paraId="2AEF5022" w14:textId="77777777" w:rsidR="003D22F3" w:rsidRPr="001158C8" w:rsidRDefault="003D22F3" w:rsidP="000B6C54">
            <w:pPr>
              <w:spacing w:line="240" w:lineRule="auto"/>
              <w:ind w:firstLine="0"/>
              <w:rPr>
                <w:rFonts w:asciiTheme="minorHAnsi" w:hAnsiTheme="minorHAnsi" w:cstheme="minorHAnsi"/>
                <w:sz w:val="22"/>
                <w:szCs w:val="22"/>
              </w:rPr>
            </w:pPr>
          </w:p>
        </w:tc>
      </w:tr>
      <w:tr w:rsidR="00E923B2" w:rsidRPr="003D22F3" w14:paraId="3B6634DB" w14:textId="77777777" w:rsidTr="006A68F1">
        <w:tc>
          <w:tcPr>
            <w:tcW w:w="1276" w:type="dxa"/>
          </w:tcPr>
          <w:p w14:paraId="06501708" w14:textId="77777777" w:rsidR="003D22F3"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lastRenderedPageBreak/>
              <w:t xml:space="preserve">Smoker, </w:t>
            </w:r>
          </w:p>
          <w:p w14:paraId="2D782F1D" w14:textId="49904966"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Missing</w:t>
            </w:r>
          </w:p>
        </w:tc>
        <w:tc>
          <w:tcPr>
            <w:tcW w:w="1418" w:type="dxa"/>
          </w:tcPr>
          <w:p w14:paraId="76B4382F"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Within two years prior to index date</w:t>
            </w:r>
          </w:p>
        </w:tc>
        <w:tc>
          <w:tcPr>
            <w:tcW w:w="1701" w:type="dxa"/>
          </w:tcPr>
          <w:p w14:paraId="7ADC5C4E"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Categorical</w:t>
            </w:r>
          </w:p>
        </w:tc>
        <w:tc>
          <w:tcPr>
            <w:tcW w:w="1701" w:type="dxa"/>
          </w:tcPr>
          <w:p w14:paraId="55BE9836"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NHS Read code (covers smoker, ex-smoker and never smoked), or “Missing” meaning no data.</w:t>
            </w:r>
          </w:p>
          <w:p w14:paraId="72CE18A4" w14:textId="77777777" w:rsidR="003D22F3" w:rsidRPr="001158C8" w:rsidRDefault="003D22F3" w:rsidP="000B6C54">
            <w:pPr>
              <w:spacing w:line="240" w:lineRule="auto"/>
              <w:ind w:firstLine="0"/>
              <w:rPr>
                <w:rFonts w:asciiTheme="minorHAnsi" w:hAnsiTheme="minorHAnsi" w:cstheme="minorHAnsi"/>
                <w:sz w:val="22"/>
                <w:szCs w:val="22"/>
              </w:rPr>
            </w:pPr>
          </w:p>
        </w:tc>
        <w:tc>
          <w:tcPr>
            <w:tcW w:w="3119" w:type="dxa"/>
          </w:tcPr>
          <w:p w14:paraId="239A81B7" w14:textId="796F1681" w:rsidR="003D22F3" w:rsidRPr="001158C8" w:rsidRDefault="00E923B2" w:rsidP="000B6C54">
            <w:pPr>
              <w:spacing w:line="240" w:lineRule="auto"/>
              <w:ind w:firstLine="0"/>
              <w:rPr>
                <w:rFonts w:ascii="Calibri" w:hAnsi="Calibri" w:cs="Calibri"/>
                <w:sz w:val="22"/>
                <w:szCs w:val="22"/>
              </w:rPr>
            </w:pPr>
            <w:r w:rsidRPr="001158C8">
              <w:rPr>
                <w:rFonts w:ascii="Calibri" w:hAnsi="Calibri" w:cs="Calibri"/>
                <w:sz w:val="22"/>
                <w:szCs w:val="22"/>
              </w:rPr>
              <w:t>Smoker</w:t>
            </w:r>
          </w:p>
          <w:p w14:paraId="6794329A" w14:textId="3E9E70D8" w:rsidR="003D22F3" w:rsidRPr="001158C8" w:rsidRDefault="003D22F3" w:rsidP="000B6C54">
            <w:pPr>
              <w:spacing w:line="240" w:lineRule="auto"/>
              <w:ind w:firstLine="0"/>
              <w:rPr>
                <w:rFonts w:ascii="Calibri" w:hAnsi="Calibri" w:cs="Calibri"/>
                <w:sz w:val="22"/>
                <w:szCs w:val="22"/>
              </w:rPr>
            </w:pPr>
            <w:r w:rsidRPr="001158C8">
              <w:rPr>
                <w:rFonts w:ascii="Calibri" w:hAnsi="Calibri" w:cs="Calibri"/>
                <w:sz w:val="22"/>
                <w:szCs w:val="22"/>
              </w:rPr>
              <w:t>Missing</w:t>
            </w:r>
          </w:p>
        </w:tc>
      </w:tr>
      <w:tr w:rsidR="00E923B2" w:rsidRPr="003D22F3" w14:paraId="7EFEE6F3" w14:textId="77777777" w:rsidTr="006A68F1">
        <w:tc>
          <w:tcPr>
            <w:tcW w:w="1276" w:type="dxa"/>
          </w:tcPr>
          <w:p w14:paraId="5B069983"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Count</w:t>
            </w:r>
          </w:p>
        </w:tc>
        <w:tc>
          <w:tcPr>
            <w:tcW w:w="1418" w:type="dxa"/>
          </w:tcPr>
          <w:p w14:paraId="273C1C45"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Within one year prior to index date</w:t>
            </w:r>
          </w:p>
        </w:tc>
        <w:tc>
          <w:tcPr>
            <w:tcW w:w="1701" w:type="dxa"/>
          </w:tcPr>
          <w:p w14:paraId="48154933"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Integer</w:t>
            </w:r>
          </w:p>
        </w:tc>
        <w:tc>
          <w:tcPr>
            <w:tcW w:w="1701" w:type="dxa"/>
          </w:tcPr>
          <w:p w14:paraId="7D466BB8"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 xml:space="preserve">Match person to GP contact database to obtain number of visits in the year. </w:t>
            </w:r>
          </w:p>
          <w:p w14:paraId="73A603F7" w14:textId="77777777" w:rsidR="003D22F3" w:rsidRPr="001158C8" w:rsidRDefault="003D22F3" w:rsidP="000B6C54">
            <w:pPr>
              <w:spacing w:line="240" w:lineRule="auto"/>
              <w:ind w:firstLine="0"/>
              <w:rPr>
                <w:rFonts w:asciiTheme="minorHAnsi" w:hAnsiTheme="minorHAnsi" w:cstheme="minorHAnsi"/>
                <w:sz w:val="22"/>
                <w:szCs w:val="22"/>
              </w:rPr>
            </w:pPr>
          </w:p>
        </w:tc>
        <w:tc>
          <w:tcPr>
            <w:tcW w:w="3119" w:type="dxa"/>
          </w:tcPr>
          <w:p w14:paraId="42F2FDC9" w14:textId="77777777" w:rsidR="00E923B2" w:rsidRPr="001158C8" w:rsidRDefault="00E923B2" w:rsidP="000B6C54">
            <w:pPr>
              <w:spacing w:line="240" w:lineRule="auto"/>
              <w:ind w:firstLine="0"/>
              <w:rPr>
                <w:rFonts w:ascii="Calibri" w:hAnsi="Calibri" w:cs="Calibri"/>
                <w:sz w:val="22"/>
                <w:szCs w:val="22"/>
              </w:rPr>
            </w:pPr>
            <w:r w:rsidRPr="001158C8">
              <w:rPr>
                <w:rFonts w:ascii="Calibri" w:hAnsi="Calibri" w:cs="Calibri"/>
                <w:sz w:val="22"/>
                <w:szCs w:val="22"/>
              </w:rPr>
              <w:t>Count</w:t>
            </w:r>
          </w:p>
        </w:tc>
      </w:tr>
      <w:tr w:rsidR="00E923B2" w:rsidRPr="003D22F3" w14:paraId="104A8FF9" w14:textId="77777777" w:rsidTr="001158C8">
        <w:trPr>
          <w:trHeight w:val="1472"/>
        </w:trPr>
        <w:tc>
          <w:tcPr>
            <w:tcW w:w="1276" w:type="dxa"/>
          </w:tcPr>
          <w:p w14:paraId="13EEFDCD"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Townsend Index of deprivation</w:t>
            </w:r>
          </w:p>
        </w:tc>
        <w:tc>
          <w:tcPr>
            <w:tcW w:w="1418" w:type="dxa"/>
          </w:tcPr>
          <w:p w14:paraId="528B6F53"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At time of data extraction</w:t>
            </w:r>
          </w:p>
        </w:tc>
        <w:tc>
          <w:tcPr>
            <w:tcW w:w="1701" w:type="dxa"/>
          </w:tcPr>
          <w:p w14:paraId="4A3A926D"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Quintile (Integer 1 to 5)</w:t>
            </w:r>
          </w:p>
        </w:tc>
        <w:tc>
          <w:tcPr>
            <w:tcW w:w="1701" w:type="dxa"/>
          </w:tcPr>
          <w:p w14:paraId="4410402E" w14:textId="77777777" w:rsidR="00E923B2" w:rsidRPr="001158C8" w:rsidRDefault="00E923B2" w:rsidP="000B6C54">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Match person to practice identifying quintile.</w:t>
            </w:r>
          </w:p>
        </w:tc>
        <w:tc>
          <w:tcPr>
            <w:tcW w:w="3119" w:type="dxa"/>
          </w:tcPr>
          <w:p w14:paraId="3E7B03B8" w14:textId="77777777" w:rsidR="00E923B2" w:rsidRPr="001158C8" w:rsidRDefault="00E923B2" w:rsidP="000B6C54">
            <w:pPr>
              <w:spacing w:line="240" w:lineRule="auto"/>
              <w:ind w:firstLine="0"/>
              <w:rPr>
                <w:sz w:val="22"/>
                <w:szCs w:val="22"/>
              </w:rPr>
            </w:pPr>
            <w:r w:rsidRPr="001158C8">
              <w:rPr>
                <w:sz w:val="22"/>
                <w:szCs w:val="22"/>
              </w:rPr>
              <w:t>Deprivation Index (IMD)</w:t>
            </w:r>
          </w:p>
        </w:tc>
      </w:tr>
    </w:tbl>
    <w:p w14:paraId="45CFF9E7" w14:textId="4D9A9FBB" w:rsidR="00B80A28" w:rsidRDefault="00E923B2" w:rsidP="00764234">
      <w:r w:rsidRPr="003D22F3">
        <w:t xml:space="preserve">Note: For details on NHS Read codes see </w:t>
      </w:r>
      <w:r w:rsidR="003D22F3">
        <w:t>SCIMP</w:t>
      </w:r>
      <w:r w:rsidR="0095143F" w:rsidRPr="00F97AED">
        <w:fldChar w:fldCharType="begin"/>
      </w:r>
      <w:r w:rsidR="00936AF8">
        <w:instrText xml:space="preserve"> ADDIN ZOTERO_ITEM CSL_CITATION {"citationID":"3NarJkXH","properties":{"formattedCitation":"(57)","plainCitation":"(57)","noteIndex":0},"citationItems":[{"id":13,"uris":["http://zotero.org/users/5225066/items/EEK37EAD"],"itemData":{"id":13,"type":"webpage","title":"SCIMP Guide to Read Codes | Primary Care Informatics","URL":"https://www.scimp.scot.nhs.uk/better-information/clinical-coding/scimp-guide-to-read-codes","accessed":{"date-parts":[["2021",11,12]]}}}],"schema":"https://github.com/citation-style-language/schema/raw/master/csl-citation.json"} </w:instrText>
      </w:r>
      <w:r w:rsidR="0095143F" w:rsidRPr="00F97AED">
        <w:fldChar w:fldCharType="separate"/>
      </w:r>
      <w:r w:rsidR="00936AF8" w:rsidRPr="00936AF8">
        <w:rPr>
          <w:rFonts w:ascii="Calibri" w:hAnsi="Calibri" w:cs="Calibri"/>
        </w:rPr>
        <w:t>(57)</w:t>
      </w:r>
      <w:r w:rsidR="0095143F" w:rsidRPr="00F97AED">
        <w:fldChar w:fldCharType="end"/>
      </w:r>
      <w:r w:rsidR="003D22F3" w:rsidRPr="00F97AED">
        <w:t xml:space="preserve"> </w:t>
      </w:r>
    </w:p>
    <w:p w14:paraId="0B322225" w14:textId="77777777" w:rsidR="00D77862" w:rsidRDefault="00D77862" w:rsidP="00764234"/>
    <w:p w14:paraId="2CB7E9AB" w14:textId="77777777" w:rsidR="00D77862" w:rsidRDefault="00D77862" w:rsidP="00764234"/>
    <w:p w14:paraId="22EAFF08" w14:textId="77777777" w:rsidR="00D77862" w:rsidRDefault="00D77862" w:rsidP="00764234"/>
    <w:p w14:paraId="424AD3D1" w14:textId="77357D70" w:rsidR="0091599C" w:rsidRPr="0091599C" w:rsidRDefault="0091599C" w:rsidP="00764234">
      <w:pPr>
        <w:pStyle w:val="Heading2"/>
      </w:pPr>
      <w:r w:rsidRPr="0091599C">
        <w:t xml:space="preserve">Appendix </w:t>
      </w:r>
      <w:r w:rsidR="00F36537">
        <w:t>B</w:t>
      </w:r>
      <w:r w:rsidRPr="0091599C">
        <w:t xml:space="preserve"> </w:t>
      </w:r>
      <w:r w:rsidR="00F2357A">
        <w:t xml:space="preserve">- </w:t>
      </w:r>
      <w:r w:rsidRPr="0091599C">
        <w:t>Alternative ML Models</w:t>
      </w:r>
    </w:p>
    <w:p w14:paraId="269540B1" w14:textId="0B54F72C" w:rsidR="0091599C" w:rsidRPr="00902BEE" w:rsidRDefault="0091599C" w:rsidP="00902BEE">
      <w:pPr>
        <w:pStyle w:val="Caption"/>
        <w:ind w:firstLine="0"/>
        <w:rPr>
          <w:rFonts w:asciiTheme="minorHAnsi" w:hAnsiTheme="minorHAnsi" w:cstheme="minorHAnsi"/>
          <w:b/>
          <w:bCs/>
          <w:i w:val="0"/>
          <w:iCs w:val="0"/>
          <w:sz w:val="22"/>
          <w:szCs w:val="22"/>
        </w:rPr>
      </w:pPr>
      <w:r w:rsidRPr="00902BEE">
        <w:rPr>
          <w:rFonts w:asciiTheme="minorHAnsi" w:hAnsiTheme="minorHAnsi" w:cstheme="minorHAnsi"/>
          <w:b/>
          <w:bCs/>
          <w:i w:val="0"/>
          <w:iCs w:val="0"/>
          <w:sz w:val="22"/>
          <w:szCs w:val="22"/>
        </w:rPr>
        <w:lastRenderedPageBreak/>
        <w:t xml:space="preserve">Table </w:t>
      </w:r>
      <w:r w:rsidRPr="00902BEE">
        <w:rPr>
          <w:rFonts w:asciiTheme="minorHAnsi" w:hAnsiTheme="minorHAnsi" w:cstheme="minorHAnsi"/>
          <w:b/>
          <w:bCs/>
          <w:i w:val="0"/>
          <w:iCs w:val="0"/>
          <w:sz w:val="22"/>
          <w:szCs w:val="22"/>
        </w:rPr>
        <w:fldChar w:fldCharType="begin"/>
      </w:r>
      <w:r w:rsidRPr="00902BEE">
        <w:rPr>
          <w:rFonts w:asciiTheme="minorHAnsi" w:hAnsiTheme="minorHAnsi" w:cstheme="minorHAnsi"/>
          <w:b/>
          <w:bCs/>
          <w:i w:val="0"/>
          <w:iCs w:val="0"/>
          <w:sz w:val="22"/>
          <w:szCs w:val="22"/>
        </w:rPr>
        <w:instrText xml:space="preserve"> SEQ Table \* ARABIC </w:instrText>
      </w:r>
      <w:r w:rsidRPr="00902BEE">
        <w:rPr>
          <w:rFonts w:asciiTheme="minorHAnsi" w:hAnsiTheme="minorHAnsi" w:cstheme="minorHAnsi"/>
          <w:b/>
          <w:bCs/>
          <w:i w:val="0"/>
          <w:iCs w:val="0"/>
          <w:sz w:val="22"/>
          <w:szCs w:val="22"/>
        </w:rPr>
        <w:fldChar w:fldCharType="separate"/>
      </w:r>
      <w:r w:rsidR="00634DAB" w:rsidRPr="00902BEE">
        <w:rPr>
          <w:rFonts w:asciiTheme="minorHAnsi" w:hAnsiTheme="minorHAnsi" w:cstheme="minorHAnsi"/>
          <w:b/>
          <w:bCs/>
          <w:i w:val="0"/>
          <w:iCs w:val="0"/>
          <w:noProof/>
          <w:sz w:val="22"/>
          <w:szCs w:val="22"/>
        </w:rPr>
        <w:t>5</w:t>
      </w:r>
      <w:r w:rsidRPr="00902BEE">
        <w:rPr>
          <w:rFonts w:asciiTheme="minorHAnsi" w:hAnsiTheme="minorHAnsi" w:cstheme="minorHAnsi"/>
          <w:b/>
          <w:bCs/>
          <w:i w:val="0"/>
          <w:iCs w:val="0"/>
          <w:sz w:val="22"/>
          <w:szCs w:val="22"/>
        </w:rPr>
        <w:fldChar w:fldCharType="end"/>
      </w:r>
      <w:r w:rsidRPr="00902BEE">
        <w:rPr>
          <w:rFonts w:asciiTheme="minorHAnsi" w:hAnsiTheme="minorHAnsi" w:cstheme="minorHAnsi"/>
          <w:b/>
          <w:bCs/>
          <w:i w:val="0"/>
          <w:iCs w:val="0"/>
          <w:sz w:val="22"/>
          <w:szCs w:val="22"/>
        </w:rPr>
        <w:t xml:space="preserve"> </w:t>
      </w:r>
    </w:p>
    <w:p w14:paraId="46DF95E9" w14:textId="77777777" w:rsidR="0091599C" w:rsidRPr="0091599C" w:rsidRDefault="0091599C" w:rsidP="00902BEE">
      <w:pPr>
        <w:pStyle w:val="Caption"/>
        <w:ind w:firstLine="0"/>
      </w:pPr>
      <w:r w:rsidRPr="00902BEE">
        <w:rPr>
          <w:rFonts w:asciiTheme="minorHAnsi" w:hAnsiTheme="minorHAnsi" w:cstheme="minorHAnsi"/>
          <w:color w:val="auto"/>
          <w:sz w:val="22"/>
          <w:szCs w:val="22"/>
        </w:rPr>
        <w:t xml:space="preserve">Alternative ML models, </w:t>
      </w:r>
      <w:proofErr w:type="gramStart"/>
      <w:r w:rsidRPr="00902BEE">
        <w:rPr>
          <w:rFonts w:asciiTheme="minorHAnsi" w:hAnsiTheme="minorHAnsi" w:cstheme="minorHAnsi"/>
          <w:color w:val="auto"/>
          <w:sz w:val="22"/>
          <w:szCs w:val="22"/>
        </w:rPr>
        <w:t>notes</w:t>
      </w:r>
      <w:proofErr w:type="gramEnd"/>
      <w:r w:rsidRPr="00902BEE">
        <w:rPr>
          <w:rFonts w:asciiTheme="minorHAnsi" w:hAnsiTheme="minorHAnsi" w:cstheme="minorHAnsi"/>
          <w:color w:val="auto"/>
          <w:sz w:val="22"/>
          <w:szCs w:val="22"/>
        </w:rPr>
        <w:t xml:space="preserve"> and implementation library</w:t>
      </w:r>
      <w:r w:rsidRPr="0091599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584"/>
        <w:gridCol w:w="3027"/>
      </w:tblGrid>
      <w:tr w:rsidR="0091599C" w:rsidRPr="00902BEE" w14:paraId="2CEE7D5A" w14:textId="77777777" w:rsidTr="006A68F1">
        <w:tc>
          <w:tcPr>
            <w:tcW w:w="2405" w:type="dxa"/>
            <w:tcBorders>
              <w:bottom w:val="single" w:sz="4" w:space="0" w:color="auto"/>
            </w:tcBorders>
          </w:tcPr>
          <w:p w14:paraId="0A86F868" w14:textId="6906CD75" w:rsidR="0091599C" w:rsidRPr="00902BEE" w:rsidRDefault="00BE0454"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ML </w:t>
            </w:r>
            <w:r w:rsidR="0091599C" w:rsidRPr="00902BEE">
              <w:rPr>
                <w:rFonts w:asciiTheme="minorHAnsi" w:hAnsiTheme="minorHAnsi" w:cstheme="minorHAnsi"/>
                <w:sz w:val="22"/>
                <w:szCs w:val="22"/>
              </w:rPr>
              <w:t>Model</w:t>
            </w:r>
          </w:p>
        </w:tc>
        <w:tc>
          <w:tcPr>
            <w:tcW w:w="3584" w:type="dxa"/>
            <w:tcBorders>
              <w:bottom w:val="single" w:sz="4" w:space="0" w:color="auto"/>
            </w:tcBorders>
          </w:tcPr>
          <w:p w14:paraId="76F46706"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Notes</w:t>
            </w:r>
          </w:p>
        </w:tc>
        <w:tc>
          <w:tcPr>
            <w:tcW w:w="3027" w:type="dxa"/>
            <w:tcBorders>
              <w:bottom w:val="single" w:sz="4" w:space="0" w:color="auto"/>
            </w:tcBorders>
          </w:tcPr>
          <w:p w14:paraId="7DB79A09" w14:textId="77777777" w:rsidR="00867E18"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Implementation library </w:t>
            </w:r>
          </w:p>
          <w:p w14:paraId="192148B1" w14:textId="5EDDCABD"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for R (v 4.1.3)</w:t>
            </w:r>
          </w:p>
        </w:tc>
      </w:tr>
      <w:tr w:rsidR="0091599C" w:rsidRPr="00902BEE" w14:paraId="03DECAF5" w14:textId="77777777" w:rsidTr="006A68F1">
        <w:tc>
          <w:tcPr>
            <w:tcW w:w="2405" w:type="dxa"/>
            <w:tcBorders>
              <w:top w:val="single" w:sz="4" w:space="0" w:color="auto"/>
            </w:tcBorders>
          </w:tcPr>
          <w:p w14:paraId="544BB15F" w14:textId="2B8644DC"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LASSO (Least Absolute Shrinkage Selection Operator)</w:t>
            </w:r>
          </w:p>
        </w:tc>
        <w:tc>
          <w:tcPr>
            <w:tcW w:w="3584" w:type="dxa"/>
            <w:tcBorders>
              <w:top w:val="single" w:sz="4" w:space="0" w:color="auto"/>
            </w:tcBorders>
          </w:tcPr>
          <w:p w14:paraId="76E074E2" w14:textId="0CDBCCCB"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A regression model but, unlike stepwise </w:t>
            </w:r>
            <w:r w:rsidR="003974CD" w:rsidRPr="00902BEE">
              <w:rPr>
                <w:rFonts w:asciiTheme="minorHAnsi" w:hAnsiTheme="minorHAnsi" w:cstheme="minorHAnsi"/>
                <w:sz w:val="22"/>
                <w:szCs w:val="22"/>
              </w:rPr>
              <w:t>logistic regression</w:t>
            </w:r>
            <w:r w:rsidRPr="00902BEE">
              <w:rPr>
                <w:rFonts w:asciiTheme="minorHAnsi" w:hAnsiTheme="minorHAnsi" w:cstheme="minorHAnsi"/>
                <w:sz w:val="22"/>
                <w:szCs w:val="22"/>
              </w:rPr>
              <w:t xml:space="preserve"> in the NRCBM study, it uses a regularization term to penalize complex models thus supporting the selection of only the more important predictors. </w:t>
            </w:r>
          </w:p>
        </w:tc>
        <w:tc>
          <w:tcPr>
            <w:tcW w:w="3027" w:type="dxa"/>
            <w:tcBorders>
              <w:top w:val="single" w:sz="4" w:space="0" w:color="auto"/>
            </w:tcBorders>
          </w:tcPr>
          <w:p w14:paraId="1BF0E71C" w14:textId="3A805FDE"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library (</w:t>
            </w:r>
            <w:proofErr w:type="spellStart"/>
            <w:r w:rsidRPr="00902BEE">
              <w:rPr>
                <w:rFonts w:asciiTheme="minorHAnsi" w:hAnsiTheme="minorHAnsi" w:cstheme="minorHAnsi"/>
                <w:sz w:val="22"/>
                <w:szCs w:val="22"/>
              </w:rPr>
              <w:t>glmnet</w:t>
            </w:r>
            <w:proofErr w:type="spellEnd"/>
            <w:r w:rsidRPr="00902BEE">
              <w:rPr>
                <w:rFonts w:asciiTheme="minorHAnsi" w:hAnsiTheme="minorHAnsi" w:cstheme="minorHAnsi"/>
                <w:sz w:val="22"/>
                <w:szCs w:val="22"/>
              </w:rPr>
              <w:t>) 4.1-3</w:t>
            </w:r>
          </w:p>
        </w:tc>
      </w:tr>
      <w:tr w:rsidR="0091599C" w:rsidRPr="00902BEE" w14:paraId="6F2F802D" w14:textId="77777777" w:rsidTr="006A68F1">
        <w:tc>
          <w:tcPr>
            <w:tcW w:w="2405" w:type="dxa"/>
          </w:tcPr>
          <w:p w14:paraId="151CCBCF"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Random Forest</w:t>
            </w:r>
          </w:p>
        </w:tc>
        <w:tc>
          <w:tcPr>
            <w:tcW w:w="3584" w:type="dxa"/>
          </w:tcPr>
          <w:p w14:paraId="0CC37D86"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An ensemble learning method supporting regression and classification. Creates multiple decision trees based on subsets of training data, then uses them to make predictions based on mode/mean of individual trees.</w:t>
            </w:r>
          </w:p>
        </w:tc>
        <w:tc>
          <w:tcPr>
            <w:tcW w:w="3027" w:type="dxa"/>
          </w:tcPr>
          <w:p w14:paraId="42B32F6F" w14:textId="2029580B"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library (</w:t>
            </w:r>
            <w:proofErr w:type="spellStart"/>
            <w:r w:rsidRPr="00902BEE">
              <w:rPr>
                <w:rFonts w:asciiTheme="minorHAnsi" w:hAnsiTheme="minorHAnsi" w:cstheme="minorHAnsi"/>
                <w:sz w:val="22"/>
                <w:szCs w:val="22"/>
              </w:rPr>
              <w:t>randomForest</w:t>
            </w:r>
            <w:proofErr w:type="spellEnd"/>
            <w:r w:rsidRPr="00902BEE">
              <w:rPr>
                <w:rFonts w:asciiTheme="minorHAnsi" w:hAnsiTheme="minorHAnsi" w:cstheme="minorHAnsi"/>
                <w:sz w:val="22"/>
                <w:szCs w:val="22"/>
              </w:rPr>
              <w:t>) 4.7-1</w:t>
            </w:r>
          </w:p>
        </w:tc>
      </w:tr>
      <w:tr w:rsidR="0091599C" w:rsidRPr="00902BEE" w14:paraId="21E6A7F9" w14:textId="77777777" w:rsidTr="006A68F1">
        <w:tc>
          <w:tcPr>
            <w:tcW w:w="2405" w:type="dxa"/>
          </w:tcPr>
          <w:p w14:paraId="0C5529CC"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Gradient Boosting</w:t>
            </w:r>
          </w:p>
        </w:tc>
        <w:tc>
          <w:tcPr>
            <w:tcW w:w="3584" w:type="dxa"/>
          </w:tcPr>
          <w:p w14:paraId="3A313CDE"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An ensemble approach that combines predictions form multiple weaker models such as decision trees or regression models, using a gradient descent method to improve accuracy. It is suitable for both classification and regression applications.</w:t>
            </w:r>
          </w:p>
        </w:tc>
        <w:tc>
          <w:tcPr>
            <w:tcW w:w="3027" w:type="dxa"/>
          </w:tcPr>
          <w:p w14:paraId="0DF8EE9D" w14:textId="1970CE18"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library (</w:t>
            </w:r>
            <w:proofErr w:type="spellStart"/>
            <w:r w:rsidRPr="00902BEE">
              <w:rPr>
                <w:rFonts w:asciiTheme="minorHAnsi" w:hAnsiTheme="minorHAnsi" w:cstheme="minorHAnsi"/>
                <w:sz w:val="22"/>
                <w:szCs w:val="22"/>
              </w:rPr>
              <w:t>gbm</w:t>
            </w:r>
            <w:proofErr w:type="spellEnd"/>
            <w:r w:rsidRPr="00902BEE">
              <w:rPr>
                <w:rFonts w:asciiTheme="minorHAnsi" w:hAnsiTheme="minorHAnsi" w:cstheme="minorHAnsi"/>
                <w:sz w:val="22"/>
                <w:szCs w:val="22"/>
              </w:rPr>
              <w:t>)</w:t>
            </w:r>
            <w:r w:rsidR="00867E18" w:rsidRPr="00902BEE">
              <w:rPr>
                <w:rFonts w:asciiTheme="minorHAnsi" w:hAnsiTheme="minorHAnsi" w:cstheme="minorHAnsi"/>
                <w:sz w:val="22"/>
                <w:szCs w:val="22"/>
              </w:rPr>
              <w:t xml:space="preserve"> </w:t>
            </w:r>
            <w:r w:rsidRPr="00902BEE">
              <w:rPr>
                <w:rFonts w:asciiTheme="minorHAnsi" w:hAnsiTheme="minorHAnsi" w:cstheme="minorHAnsi"/>
                <w:sz w:val="22"/>
                <w:szCs w:val="22"/>
              </w:rPr>
              <w:t>2.1.8</w:t>
            </w:r>
          </w:p>
        </w:tc>
      </w:tr>
      <w:tr w:rsidR="0091599C" w:rsidRPr="00902BEE" w14:paraId="44EF3695" w14:textId="77777777" w:rsidTr="006A68F1">
        <w:tc>
          <w:tcPr>
            <w:tcW w:w="2405" w:type="dxa"/>
          </w:tcPr>
          <w:p w14:paraId="28C6B202" w14:textId="77777777" w:rsidR="0091599C" w:rsidRPr="00902BEE" w:rsidRDefault="0091599C" w:rsidP="00902BEE">
            <w:pPr>
              <w:spacing w:line="240" w:lineRule="auto"/>
              <w:ind w:firstLine="0"/>
              <w:rPr>
                <w:rFonts w:asciiTheme="minorHAnsi" w:hAnsiTheme="minorHAnsi" w:cstheme="minorHAnsi"/>
                <w:sz w:val="22"/>
                <w:szCs w:val="22"/>
              </w:rPr>
            </w:pPr>
            <w:proofErr w:type="spellStart"/>
            <w:r w:rsidRPr="00902BEE">
              <w:rPr>
                <w:rFonts w:asciiTheme="minorHAnsi" w:hAnsiTheme="minorHAnsi" w:cstheme="minorHAnsi"/>
                <w:sz w:val="22"/>
                <w:szCs w:val="22"/>
              </w:rPr>
              <w:t>XGBoost</w:t>
            </w:r>
            <w:proofErr w:type="spellEnd"/>
          </w:p>
        </w:tc>
        <w:tc>
          <w:tcPr>
            <w:tcW w:w="3584" w:type="dxa"/>
          </w:tcPr>
          <w:p w14:paraId="69A7B331"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This is another ensemble approach but, unlike Gradient Boosting it uses a Newton-Raphson function and special penalization techniques for tree selection. It is considered to offer improved performance vs e.g., Gradient Boosting, but at the expense of interpretability.</w:t>
            </w:r>
          </w:p>
        </w:tc>
        <w:tc>
          <w:tcPr>
            <w:tcW w:w="3027" w:type="dxa"/>
          </w:tcPr>
          <w:p w14:paraId="61924F0B" w14:textId="01048919"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library (</w:t>
            </w:r>
            <w:proofErr w:type="spellStart"/>
            <w:r w:rsidRPr="00902BEE">
              <w:rPr>
                <w:rFonts w:asciiTheme="minorHAnsi" w:hAnsiTheme="minorHAnsi" w:cstheme="minorHAnsi"/>
                <w:sz w:val="22"/>
                <w:szCs w:val="22"/>
              </w:rPr>
              <w:t>xgboost</w:t>
            </w:r>
            <w:proofErr w:type="spellEnd"/>
            <w:r w:rsidRPr="00902BEE">
              <w:rPr>
                <w:rFonts w:asciiTheme="minorHAnsi" w:hAnsiTheme="minorHAnsi" w:cstheme="minorHAnsi"/>
                <w:sz w:val="22"/>
                <w:szCs w:val="22"/>
              </w:rPr>
              <w:t>) 1.5.2.1</w:t>
            </w:r>
          </w:p>
        </w:tc>
      </w:tr>
      <w:tr w:rsidR="0091599C" w:rsidRPr="00902BEE" w14:paraId="5F903E71" w14:textId="77777777" w:rsidTr="006A68F1">
        <w:tc>
          <w:tcPr>
            <w:tcW w:w="2405" w:type="dxa"/>
          </w:tcPr>
          <w:p w14:paraId="280DC6F3" w14:textId="77777777" w:rsidR="0091599C" w:rsidRPr="00902BEE" w:rsidRDefault="0091599C" w:rsidP="00902BEE">
            <w:pPr>
              <w:spacing w:line="240" w:lineRule="auto"/>
              <w:ind w:firstLine="0"/>
              <w:rPr>
                <w:rFonts w:asciiTheme="minorHAnsi" w:hAnsiTheme="minorHAnsi" w:cstheme="minorHAnsi"/>
                <w:sz w:val="22"/>
                <w:szCs w:val="22"/>
              </w:rPr>
            </w:pPr>
            <w:proofErr w:type="spellStart"/>
            <w:r w:rsidRPr="00902BEE">
              <w:rPr>
                <w:rFonts w:asciiTheme="minorHAnsi" w:hAnsiTheme="minorHAnsi" w:cstheme="minorHAnsi"/>
                <w:sz w:val="22"/>
                <w:szCs w:val="22"/>
              </w:rPr>
              <w:t>Rpart</w:t>
            </w:r>
            <w:proofErr w:type="spellEnd"/>
          </w:p>
        </w:tc>
        <w:tc>
          <w:tcPr>
            <w:tcW w:w="3584" w:type="dxa"/>
          </w:tcPr>
          <w:p w14:paraId="3396236E"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“Recursive partitioning” is a decision tree algorithm for generating classification,</w:t>
            </w:r>
          </w:p>
          <w:p w14:paraId="21DA13EC"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regression and survival trees. The resulting decision trees are considered easy to interpret. </w:t>
            </w:r>
          </w:p>
        </w:tc>
        <w:tc>
          <w:tcPr>
            <w:tcW w:w="3027" w:type="dxa"/>
          </w:tcPr>
          <w:p w14:paraId="463AF9DC" w14:textId="5187ABF6"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library (</w:t>
            </w:r>
            <w:proofErr w:type="spellStart"/>
            <w:r w:rsidRPr="00902BEE">
              <w:rPr>
                <w:rFonts w:asciiTheme="minorHAnsi" w:hAnsiTheme="minorHAnsi" w:cstheme="minorHAnsi"/>
                <w:sz w:val="22"/>
                <w:szCs w:val="22"/>
              </w:rPr>
              <w:t>rpart</w:t>
            </w:r>
            <w:proofErr w:type="spellEnd"/>
            <w:r w:rsidR="00867E18" w:rsidRPr="00902BEE">
              <w:rPr>
                <w:rFonts w:asciiTheme="minorHAnsi" w:hAnsiTheme="minorHAnsi" w:cstheme="minorHAnsi"/>
                <w:sz w:val="22"/>
                <w:szCs w:val="22"/>
              </w:rPr>
              <w:t>)</w:t>
            </w:r>
            <w:r w:rsidRPr="00902BEE">
              <w:rPr>
                <w:rFonts w:asciiTheme="minorHAnsi" w:hAnsiTheme="minorHAnsi" w:cstheme="minorHAnsi"/>
                <w:sz w:val="22"/>
                <w:szCs w:val="22"/>
              </w:rPr>
              <w:tab/>
              <w:t>4.1.16</w:t>
            </w:r>
          </w:p>
        </w:tc>
      </w:tr>
      <w:tr w:rsidR="0091599C" w:rsidRPr="00902BEE" w14:paraId="53B926F0" w14:textId="77777777" w:rsidTr="006A68F1">
        <w:tc>
          <w:tcPr>
            <w:tcW w:w="2405" w:type="dxa"/>
          </w:tcPr>
          <w:p w14:paraId="3BB866DE"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PRE (Prediction Rules Ensembles).</w:t>
            </w:r>
          </w:p>
        </w:tc>
        <w:tc>
          <w:tcPr>
            <w:tcW w:w="3584" w:type="dxa"/>
          </w:tcPr>
          <w:p w14:paraId="2C4F291E"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Used for both regression and classification, models are based on a combination of very simple, “if x then predict y” rules. The aim of PRE is to aim to optimize both accuracy and interpretability. </w:t>
            </w:r>
          </w:p>
        </w:tc>
        <w:tc>
          <w:tcPr>
            <w:tcW w:w="3027" w:type="dxa"/>
          </w:tcPr>
          <w:p w14:paraId="73E92EE6" w14:textId="77777777"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library (pre)</w:t>
            </w:r>
            <w:r w:rsidRPr="00902BEE">
              <w:rPr>
                <w:rFonts w:asciiTheme="minorHAnsi" w:hAnsiTheme="minorHAnsi" w:cstheme="minorHAnsi"/>
                <w:sz w:val="22"/>
                <w:szCs w:val="22"/>
              </w:rPr>
              <w:tab/>
              <w:t>1.0.4</w:t>
            </w:r>
          </w:p>
        </w:tc>
      </w:tr>
      <w:tr w:rsidR="0091599C" w:rsidRPr="00902BEE" w14:paraId="69FF34FF" w14:textId="77777777" w:rsidTr="00902BEE">
        <w:trPr>
          <w:trHeight w:val="80"/>
        </w:trPr>
        <w:tc>
          <w:tcPr>
            <w:tcW w:w="2405" w:type="dxa"/>
          </w:tcPr>
          <w:p w14:paraId="0117A8EC" w14:textId="3C0C3BA3" w:rsidR="0091599C" w:rsidRPr="00902BEE" w:rsidRDefault="00EE016E" w:rsidP="00902BEE">
            <w:pPr>
              <w:spacing w:line="240" w:lineRule="auto"/>
              <w:ind w:firstLine="0"/>
              <w:rPr>
                <w:rFonts w:asciiTheme="minorHAnsi" w:hAnsiTheme="minorHAnsi" w:cstheme="minorHAnsi"/>
                <w:sz w:val="22"/>
                <w:szCs w:val="22"/>
              </w:rPr>
            </w:pPr>
            <w:r w:rsidRPr="00393AEC">
              <w:rPr>
                <w:rFonts w:asciiTheme="minorHAnsi" w:hAnsiTheme="minorHAnsi" w:cstheme="minorHAnsi"/>
                <w:color w:val="0070C0"/>
                <w:sz w:val="22"/>
                <w:szCs w:val="22"/>
              </w:rPr>
              <w:t>Stepwise</w:t>
            </w:r>
            <w:r>
              <w:rPr>
                <w:rFonts w:asciiTheme="minorHAnsi" w:hAnsiTheme="minorHAnsi" w:cstheme="minorHAnsi"/>
                <w:sz w:val="22"/>
                <w:szCs w:val="22"/>
              </w:rPr>
              <w:t xml:space="preserve"> </w:t>
            </w:r>
            <w:r w:rsidR="0091599C" w:rsidRPr="00902BEE">
              <w:rPr>
                <w:rFonts w:asciiTheme="minorHAnsi" w:hAnsiTheme="minorHAnsi" w:cstheme="minorHAnsi"/>
                <w:sz w:val="22"/>
                <w:szCs w:val="22"/>
              </w:rPr>
              <w:t>Logistic Regression</w:t>
            </w:r>
            <w:r w:rsidR="001A6AB6" w:rsidRPr="00902BEE">
              <w:rPr>
                <w:rFonts w:asciiTheme="minorHAnsi" w:hAnsiTheme="minorHAnsi" w:cstheme="minorHAnsi"/>
                <w:sz w:val="22"/>
                <w:szCs w:val="22"/>
              </w:rPr>
              <w:t xml:space="preserve"> (original model)</w:t>
            </w:r>
          </w:p>
        </w:tc>
        <w:tc>
          <w:tcPr>
            <w:tcW w:w="3584" w:type="dxa"/>
          </w:tcPr>
          <w:p w14:paraId="03B81026" w14:textId="48A11013" w:rsidR="0091599C" w:rsidRPr="00902BEE" w:rsidRDefault="00EE016E" w:rsidP="00902BEE">
            <w:pPr>
              <w:spacing w:line="240" w:lineRule="auto"/>
              <w:ind w:firstLine="0"/>
              <w:rPr>
                <w:rFonts w:asciiTheme="minorHAnsi" w:hAnsiTheme="minorHAnsi" w:cstheme="minorHAnsi"/>
                <w:sz w:val="22"/>
                <w:szCs w:val="22"/>
              </w:rPr>
            </w:pPr>
            <w:r w:rsidRPr="00393AEC">
              <w:rPr>
                <w:rFonts w:asciiTheme="minorHAnsi" w:hAnsiTheme="minorHAnsi" w:cstheme="minorHAnsi"/>
                <w:color w:val="0070C0"/>
                <w:sz w:val="22"/>
                <w:szCs w:val="22"/>
              </w:rPr>
              <w:t xml:space="preserve">Stepwise </w:t>
            </w:r>
            <w:r w:rsidR="0091599C" w:rsidRPr="00902BEE">
              <w:rPr>
                <w:rFonts w:asciiTheme="minorHAnsi" w:hAnsiTheme="minorHAnsi" w:cstheme="minorHAnsi"/>
                <w:sz w:val="22"/>
                <w:szCs w:val="22"/>
              </w:rPr>
              <w:t>regression model based on the logit function used with pre-specified predictors for classification.</w:t>
            </w:r>
          </w:p>
        </w:tc>
        <w:tc>
          <w:tcPr>
            <w:tcW w:w="3027" w:type="dxa"/>
          </w:tcPr>
          <w:p w14:paraId="47502DF0" w14:textId="7E9C98CD" w:rsidR="0091599C" w:rsidRPr="00902BEE" w:rsidRDefault="0091599C"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library </w:t>
            </w:r>
            <w:r w:rsidRPr="00393AEC">
              <w:rPr>
                <w:rFonts w:asciiTheme="minorHAnsi" w:hAnsiTheme="minorHAnsi" w:cstheme="minorHAnsi"/>
                <w:color w:val="0070C0"/>
                <w:sz w:val="22"/>
                <w:szCs w:val="22"/>
              </w:rPr>
              <w:t>(</w:t>
            </w:r>
            <w:r w:rsidR="00EE016E" w:rsidRPr="00393AEC">
              <w:rPr>
                <w:rFonts w:asciiTheme="minorHAnsi" w:hAnsiTheme="minorHAnsi" w:cstheme="minorHAnsi"/>
                <w:color w:val="0070C0"/>
                <w:sz w:val="22"/>
                <w:szCs w:val="22"/>
              </w:rPr>
              <w:t>rms</w:t>
            </w:r>
            <w:r w:rsidR="00867E18" w:rsidRPr="00393AEC">
              <w:rPr>
                <w:rFonts w:asciiTheme="minorHAnsi" w:hAnsiTheme="minorHAnsi" w:cstheme="minorHAnsi"/>
                <w:color w:val="0070C0"/>
                <w:sz w:val="22"/>
                <w:szCs w:val="22"/>
              </w:rPr>
              <w:t>) 6.</w:t>
            </w:r>
            <w:r w:rsidR="00EE016E" w:rsidRPr="00393AEC">
              <w:rPr>
                <w:rFonts w:asciiTheme="minorHAnsi" w:hAnsiTheme="minorHAnsi" w:cstheme="minorHAnsi"/>
                <w:color w:val="0070C0"/>
                <w:sz w:val="22"/>
                <w:szCs w:val="22"/>
              </w:rPr>
              <w:t>6-0</w:t>
            </w:r>
          </w:p>
        </w:tc>
      </w:tr>
    </w:tbl>
    <w:p w14:paraId="7E4712A3" w14:textId="77777777" w:rsidR="0091599C" w:rsidRDefault="0091599C" w:rsidP="00764234"/>
    <w:p w14:paraId="7EA10F4C" w14:textId="3A94ECA4" w:rsidR="0091599C" w:rsidRDefault="0091599C" w:rsidP="004E5469">
      <w:pPr>
        <w:spacing w:after="0" w:line="240" w:lineRule="auto"/>
      </w:pPr>
      <w:r w:rsidRPr="0091599C">
        <w:lastRenderedPageBreak/>
        <w:t>Note: Fuller descriptions of these methods are available in the documentation accompanying the libraries and in other sources such as ML papers and textbooks. Code samples and simulated data are provided in the supplementary material.</w:t>
      </w:r>
    </w:p>
    <w:p w14:paraId="541A856A" w14:textId="77777777" w:rsidR="004E5469" w:rsidRPr="0091599C" w:rsidRDefault="004E5469" w:rsidP="004E5469">
      <w:pPr>
        <w:spacing w:after="0" w:line="240" w:lineRule="auto"/>
      </w:pPr>
    </w:p>
    <w:p w14:paraId="30AA5674" w14:textId="2BBF381D" w:rsidR="0091599C" w:rsidRPr="00EA2D92" w:rsidRDefault="00CD435B" w:rsidP="00764234">
      <w:pPr>
        <w:pStyle w:val="Heading2"/>
        <w:rPr>
          <w:lang w:val="fr-FR"/>
        </w:rPr>
      </w:pPr>
      <w:r w:rsidRPr="00EA2D92">
        <w:rPr>
          <w:rStyle w:val="Heading2Char"/>
          <w:b/>
          <w:lang w:val="fr-FR"/>
        </w:rPr>
        <w:t>Appendix</w:t>
      </w:r>
      <w:r w:rsidRPr="00EA2D92">
        <w:rPr>
          <w:lang w:val="fr-FR"/>
        </w:rPr>
        <w:t xml:space="preserve"> </w:t>
      </w:r>
      <w:r w:rsidR="00F36537" w:rsidRPr="00EA2D92">
        <w:rPr>
          <w:lang w:val="fr-FR"/>
        </w:rPr>
        <w:t>C</w:t>
      </w:r>
      <w:r w:rsidR="00B86BF2" w:rsidRPr="00EA2D92">
        <w:rPr>
          <w:lang w:val="fr-FR"/>
        </w:rPr>
        <w:t xml:space="preserve"> - </w:t>
      </w:r>
      <w:proofErr w:type="spellStart"/>
      <w:r w:rsidRPr="00EA2D92">
        <w:rPr>
          <w:lang w:val="fr-FR"/>
        </w:rPr>
        <w:t>Demographic</w:t>
      </w:r>
      <w:proofErr w:type="spellEnd"/>
      <w:r w:rsidRPr="00EA2D92">
        <w:rPr>
          <w:lang w:val="fr-FR"/>
        </w:rPr>
        <w:t xml:space="preserve"> </w:t>
      </w:r>
      <w:proofErr w:type="spellStart"/>
      <w:r w:rsidR="00331956" w:rsidRPr="00EA2D92">
        <w:rPr>
          <w:lang w:val="fr-FR"/>
        </w:rPr>
        <w:t>Comparison</w:t>
      </w:r>
      <w:proofErr w:type="spellEnd"/>
    </w:p>
    <w:p w14:paraId="2ABF74AB" w14:textId="6069684F" w:rsidR="00CD435B" w:rsidRPr="00EA2D92" w:rsidRDefault="00CD435B" w:rsidP="00902BEE">
      <w:pPr>
        <w:spacing w:after="0"/>
        <w:rPr>
          <w:b/>
          <w:bCs/>
          <w:lang w:val="fr-FR"/>
        </w:rPr>
      </w:pPr>
      <w:bookmarkStart w:id="9" w:name="_Toc98322096"/>
      <w:bookmarkStart w:id="10" w:name="_Toc115959751"/>
      <w:r w:rsidRPr="00EA2D92">
        <w:rPr>
          <w:b/>
          <w:bCs/>
          <w:lang w:val="fr-FR"/>
        </w:rPr>
        <w:t xml:space="preserve">Table </w:t>
      </w:r>
      <w:r w:rsidRPr="00902BEE">
        <w:rPr>
          <w:b/>
          <w:bCs/>
        </w:rPr>
        <w:fldChar w:fldCharType="begin"/>
      </w:r>
      <w:r w:rsidRPr="00EA2D92">
        <w:rPr>
          <w:b/>
          <w:bCs/>
          <w:lang w:val="fr-FR"/>
        </w:rPr>
        <w:instrText xml:space="preserve"> SEQ Table \* ARABIC </w:instrText>
      </w:r>
      <w:r w:rsidRPr="00902BEE">
        <w:rPr>
          <w:b/>
          <w:bCs/>
        </w:rPr>
        <w:fldChar w:fldCharType="separate"/>
      </w:r>
      <w:r w:rsidR="00D077A3" w:rsidRPr="00EA2D92">
        <w:rPr>
          <w:b/>
          <w:bCs/>
          <w:noProof/>
          <w:lang w:val="fr-FR"/>
        </w:rPr>
        <w:t>6</w:t>
      </w:r>
      <w:r w:rsidRPr="00902BEE">
        <w:rPr>
          <w:b/>
          <w:bCs/>
        </w:rPr>
        <w:fldChar w:fldCharType="end"/>
      </w:r>
      <w:r w:rsidRPr="00EA2D92">
        <w:rPr>
          <w:b/>
          <w:bCs/>
          <w:lang w:val="fr-FR"/>
        </w:rPr>
        <w:t xml:space="preserve"> </w:t>
      </w:r>
    </w:p>
    <w:p w14:paraId="0DEB9FC3" w14:textId="77777777" w:rsidR="00CD435B" w:rsidRPr="00902BEE" w:rsidRDefault="00CD435B" w:rsidP="00764234">
      <w:pPr>
        <w:rPr>
          <w:i/>
          <w:iCs/>
        </w:rPr>
      </w:pPr>
      <w:r w:rsidRPr="00902BEE">
        <w:rPr>
          <w:i/>
          <w:iCs/>
        </w:rPr>
        <w:t xml:space="preserve">Demographics, Ethnicity, Sex, Age, Social </w:t>
      </w:r>
      <w:bookmarkEnd w:id="9"/>
      <w:bookmarkEnd w:id="10"/>
      <w:r w:rsidRPr="00902BEE">
        <w:rPr>
          <w:i/>
          <w:iCs/>
        </w:rPr>
        <w:t xml:space="preserve">deprivation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982"/>
        <w:gridCol w:w="1701"/>
      </w:tblGrid>
      <w:tr w:rsidR="00CD435B" w:rsidRPr="00CD435B" w14:paraId="65481F80" w14:textId="77777777" w:rsidTr="006A68F1">
        <w:trPr>
          <w:trHeight w:val="303"/>
          <w:tblHeader/>
        </w:trPr>
        <w:tc>
          <w:tcPr>
            <w:tcW w:w="2405" w:type="dxa"/>
            <w:tcBorders>
              <w:bottom w:val="single" w:sz="4" w:space="0" w:color="auto"/>
            </w:tcBorders>
          </w:tcPr>
          <w:p w14:paraId="235CB4F0" w14:textId="77777777" w:rsidR="00CD435B" w:rsidRPr="00902BEE" w:rsidRDefault="00CD435B" w:rsidP="00902BEE">
            <w:pPr>
              <w:spacing w:line="240" w:lineRule="auto"/>
              <w:ind w:firstLine="0"/>
              <w:rPr>
                <w:rFonts w:asciiTheme="minorHAnsi" w:hAnsiTheme="minorHAnsi" w:cstheme="minorHAnsi"/>
                <w:sz w:val="22"/>
                <w:szCs w:val="22"/>
              </w:rPr>
            </w:pPr>
          </w:p>
        </w:tc>
        <w:tc>
          <w:tcPr>
            <w:tcW w:w="2982" w:type="dxa"/>
            <w:tcBorders>
              <w:bottom w:val="single" w:sz="4" w:space="0" w:color="auto"/>
            </w:tcBorders>
          </w:tcPr>
          <w:p w14:paraId="438C4246"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 xml:space="preserve">NRCBM </w:t>
            </w:r>
          </w:p>
          <w:p w14:paraId="38190646" w14:textId="000B10B3"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Study %</w:t>
            </w:r>
          </w:p>
        </w:tc>
        <w:tc>
          <w:tcPr>
            <w:tcW w:w="1701" w:type="dxa"/>
            <w:tcBorders>
              <w:bottom w:val="single" w:sz="4" w:space="0" w:color="auto"/>
            </w:tcBorders>
          </w:tcPr>
          <w:p w14:paraId="33126F64"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Replication Study %</w:t>
            </w:r>
          </w:p>
        </w:tc>
      </w:tr>
      <w:tr w:rsidR="00CD435B" w:rsidRPr="00CD435B" w14:paraId="0A17EF09" w14:textId="77777777" w:rsidTr="006A68F1">
        <w:tc>
          <w:tcPr>
            <w:tcW w:w="2405" w:type="dxa"/>
            <w:tcBorders>
              <w:top w:val="single" w:sz="4" w:space="0" w:color="auto"/>
            </w:tcBorders>
          </w:tcPr>
          <w:p w14:paraId="7EDAC7D1"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Ethnicity</w:t>
            </w:r>
          </w:p>
          <w:p w14:paraId="1E7B42BE" w14:textId="4BA318F3" w:rsidR="00CD435B" w:rsidRPr="00902BEE" w:rsidRDefault="00CD435B" w:rsidP="00902BEE">
            <w:pPr>
              <w:spacing w:line="240" w:lineRule="auto"/>
              <w:ind w:firstLine="0"/>
              <w:rPr>
                <w:rFonts w:asciiTheme="minorHAnsi" w:hAnsiTheme="minorHAnsi" w:cstheme="minorHAnsi"/>
                <w:sz w:val="22"/>
                <w:szCs w:val="22"/>
              </w:rPr>
            </w:pPr>
          </w:p>
        </w:tc>
        <w:tc>
          <w:tcPr>
            <w:tcW w:w="2982" w:type="dxa"/>
            <w:tcBorders>
              <w:top w:val="single" w:sz="4" w:space="0" w:color="auto"/>
            </w:tcBorders>
          </w:tcPr>
          <w:p w14:paraId="79BC3748" w14:textId="77777777" w:rsidR="00CD435B" w:rsidRPr="00902BEE" w:rsidRDefault="00CD435B" w:rsidP="00902BEE">
            <w:pPr>
              <w:spacing w:line="240" w:lineRule="auto"/>
              <w:ind w:firstLine="0"/>
              <w:rPr>
                <w:rFonts w:asciiTheme="minorHAnsi" w:hAnsiTheme="minorHAnsi" w:cstheme="minorHAnsi"/>
                <w:sz w:val="22"/>
                <w:szCs w:val="22"/>
              </w:rPr>
            </w:pPr>
          </w:p>
        </w:tc>
        <w:tc>
          <w:tcPr>
            <w:tcW w:w="1701" w:type="dxa"/>
            <w:tcBorders>
              <w:top w:val="single" w:sz="4" w:space="0" w:color="auto"/>
            </w:tcBorders>
          </w:tcPr>
          <w:p w14:paraId="44A1B134" w14:textId="77777777" w:rsidR="00CD435B" w:rsidRPr="00902BEE" w:rsidRDefault="00CD435B" w:rsidP="00902BEE">
            <w:pPr>
              <w:spacing w:line="240" w:lineRule="auto"/>
              <w:ind w:firstLine="0"/>
              <w:rPr>
                <w:rFonts w:asciiTheme="minorHAnsi" w:hAnsiTheme="minorHAnsi" w:cstheme="minorHAnsi"/>
                <w:sz w:val="22"/>
                <w:szCs w:val="22"/>
              </w:rPr>
            </w:pPr>
          </w:p>
        </w:tc>
      </w:tr>
      <w:tr w:rsidR="00CD435B" w:rsidRPr="00CD435B" w14:paraId="2E649C15" w14:textId="77777777" w:rsidTr="006A68F1">
        <w:tc>
          <w:tcPr>
            <w:tcW w:w="2405" w:type="dxa"/>
          </w:tcPr>
          <w:p w14:paraId="5339E943"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White</w:t>
            </w:r>
          </w:p>
        </w:tc>
        <w:tc>
          <w:tcPr>
            <w:tcW w:w="2982" w:type="dxa"/>
          </w:tcPr>
          <w:p w14:paraId="6FB683A2"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32.77</w:t>
            </w:r>
          </w:p>
        </w:tc>
        <w:tc>
          <w:tcPr>
            <w:tcW w:w="1701" w:type="dxa"/>
          </w:tcPr>
          <w:p w14:paraId="47E4C4F4"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39.73</w:t>
            </w:r>
          </w:p>
        </w:tc>
      </w:tr>
      <w:tr w:rsidR="00CD435B" w:rsidRPr="00CD435B" w14:paraId="3D02424F" w14:textId="77777777" w:rsidTr="006A68F1">
        <w:tc>
          <w:tcPr>
            <w:tcW w:w="2405" w:type="dxa"/>
          </w:tcPr>
          <w:p w14:paraId="64C4AA7E"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Black</w:t>
            </w:r>
          </w:p>
        </w:tc>
        <w:tc>
          <w:tcPr>
            <w:tcW w:w="2982" w:type="dxa"/>
          </w:tcPr>
          <w:p w14:paraId="67CD8DF2"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1.00</w:t>
            </w:r>
          </w:p>
        </w:tc>
        <w:tc>
          <w:tcPr>
            <w:tcW w:w="1701" w:type="dxa"/>
          </w:tcPr>
          <w:p w14:paraId="53CB6583"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1.50</w:t>
            </w:r>
          </w:p>
        </w:tc>
      </w:tr>
      <w:tr w:rsidR="00CD435B" w:rsidRPr="00CD435B" w14:paraId="73307E3F" w14:textId="77777777" w:rsidTr="006A68F1">
        <w:tc>
          <w:tcPr>
            <w:tcW w:w="2405" w:type="dxa"/>
          </w:tcPr>
          <w:p w14:paraId="1AB6A3DF"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Asian</w:t>
            </w:r>
          </w:p>
        </w:tc>
        <w:tc>
          <w:tcPr>
            <w:tcW w:w="2982" w:type="dxa"/>
          </w:tcPr>
          <w:p w14:paraId="6BB96D50"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1.82</w:t>
            </w:r>
          </w:p>
        </w:tc>
        <w:tc>
          <w:tcPr>
            <w:tcW w:w="1701" w:type="dxa"/>
          </w:tcPr>
          <w:p w14:paraId="43A384F5"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2.29</w:t>
            </w:r>
          </w:p>
        </w:tc>
      </w:tr>
      <w:tr w:rsidR="00CD435B" w:rsidRPr="00CD435B" w14:paraId="0CA6765B" w14:textId="77777777" w:rsidTr="006A68F1">
        <w:tc>
          <w:tcPr>
            <w:tcW w:w="2405" w:type="dxa"/>
          </w:tcPr>
          <w:p w14:paraId="26682F86"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Mixed</w:t>
            </w:r>
          </w:p>
        </w:tc>
        <w:tc>
          <w:tcPr>
            <w:tcW w:w="2982" w:type="dxa"/>
          </w:tcPr>
          <w:p w14:paraId="05F3EC3E"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0.51</w:t>
            </w:r>
          </w:p>
        </w:tc>
        <w:tc>
          <w:tcPr>
            <w:tcW w:w="1701" w:type="dxa"/>
          </w:tcPr>
          <w:p w14:paraId="79BAC1B7"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0.85</w:t>
            </w:r>
          </w:p>
        </w:tc>
      </w:tr>
      <w:tr w:rsidR="00CD435B" w:rsidRPr="00CD435B" w14:paraId="40436292" w14:textId="77777777" w:rsidTr="006A68F1">
        <w:tc>
          <w:tcPr>
            <w:tcW w:w="2405" w:type="dxa"/>
          </w:tcPr>
          <w:p w14:paraId="691731AF"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Chinese</w:t>
            </w:r>
          </w:p>
        </w:tc>
        <w:tc>
          <w:tcPr>
            <w:tcW w:w="2982" w:type="dxa"/>
          </w:tcPr>
          <w:p w14:paraId="39DA025B"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0.24</w:t>
            </w:r>
          </w:p>
        </w:tc>
        <w:tc>
          <w:tcPr>
            <w:tcW w:w="1701" w:type="dxa"/>
          </w:tcPr>
          <w:p w14:paraId="7B993997"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0.40</w:t>
            </w:r>
          </w:p>
        </w:tc>
      </w:tr>
      <w:tr w:rsidR="00CD435B" w:rsidRPr="00CD435B" w14:paraId="39D878CA" w14:textId="77777777" w:rsidTr="006A68F1">
        <w:tc>
          <w:tcPr>
            <w:tcW w:w="2405" w:type="dxa"/>
          </w:tcPr>
          <w:p w14:paraId="742959AC"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Other</w:t>
            </w:r>
          </w:p>
        </w:tc>
        <w:tc>
          <w:tcPr>
            <w:tcW w:w="2982" w:type="dxa"/>
          </w:tcPr>
          <w:p w14:paraId="71620521"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0.51</w:t>
            </w:r>
          </w:p>
        </w:tc>
        <w:tc>
          <w:tcPr>
            <w:tcW w:w="1701" w:type="dxa"/>
          </w:tcPr>
          <w:p w14:paraId="586BC7AF"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0.85</w:t>
            </w:r>
          </w:p>
        </w:tc>
      </w:tr>
      <w:tr w:rsidR="00CD435B" w:rsidRPr="00CD435B" w14:paraId="775E2B1F" w14:textId="77777777" w:rsidTr="006A68F1">
        <w:tc>
          <w:tcPr>
            <w:tcW w:w="2405" w:type="dxa"/>
            <w:tcBorders>
              <w:bottom w:val="single" w:sz="4" w:space="0" w:color="auto"/>
            </w:tcBorders>
          </w:tcPr>
          <w:p w14:paraId="409EACA8"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Missing</w:t>
            </w:r>
          </w:p>
        </w:tc>
        <w:tc>
          <w:tcPr>
            <w:tcW w:w="2982" w:type="dxa"/>
            <w:tcBorders>
              <w:bottom w:val="single" w:sz="4" w:space="0" w:color="auto"/>
            </w:tcBorders>
          </w:tcPr>
          <w:p w14:paraId="2252899E"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63.2</w:t>
            </w:r>
          </w:p>
        </w:tc>
        <w:tc>
          <w:tcPr>
            <w:tcW w:w="1701" w:type="dxa"/>
            <w:tcBorders>
              <w:bottom w:val="single" w:sz="4" w:space="0" w:color="auto"/>
            </w:tcBorders>
          </w:tcPr>
          <w:p w14:paraId="53762B0B"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54.4</w:t>
            </w:r>
          </w:p>
        </w:tc>
      </w:tr>
      <w:tr w:rsidR="00CD435B" w:rsidRPr="00CD435B" w14:paraId="1FF99014" w14:textId="77777777" w:rsidTr="006A68F1">
        <w:tc>
          <w:tcPr>
            <w:tcW w:w="2405" w:type="dxa"/>
            <w:tcBorders>
              <w:top w:val="single" w:sz="4" w:space="0" w:color="auto"/>
            </w:tcBorders>
          </w:tcPr>
          <w:p w14:paraId="27F456B2"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Sex/Age</w:t>
            </w:r>
          </w:p>
          <w:p w14:paraId="6044971D" w14:textId="457C4656" w:rsidR="00CD435B" w:rsidRPr="00902BEE" w:rsidRDefault="00CD435B" w:rsidP="00902BEE">
            <w:pPr>
              <w:spacing w:line="240" w:lineRule="auto"/>
              <w:ind w:firstLine="0"/>
              <w:rPr>
                <w:rFonts w:asciiTheme="minorHAnsi" w:hAnsiTheme="minorHAnsi" w:cstheme="minorHAnsi"/>
                <w:sz w:val="22"/>
                <w:szCs w:val="22"/>
              </w:rPr>
            </w:pPr>
          </w:p>
        </w:tc>
        <w:tc>
          <w:tcPr>
            <w:tcW w:w="2982" w:type="dxa"/>
            <w:tcBorders>
              <w:top w:val="single" w:sz="4" w:space="0" w:color="auto"/>
            </w:tcBorders>
          </w:tcPr>
          <w:p w14:paraId="426626DA" w14:textId="77777777" w:rsidR="00CD435B" w:rsidRPr="00902BEE" w:rsidRDefault="00CD435B" w:rsidP="00902BEE">
            <w:pPr>
              <w:spacing w:line="240" w:lineRule="auto"/>
              <w:ind w:firstLine="0"/>
              <w:rPr>
                <w:rFonts w:asciiTheme="minorHAnsi" w:hAnsiTheme="minorHAnsi" w:cstheme="minorHAnsi"/>
                <w:sz w:val="22"/>
                <w:szCs w:val="22"/>
              </w:rPr>
            </w:pPr>
          </w:p>
        </w:tc>
        <w:tc>
          <w:tcPr>
            <w:tcW w:w="1701" w:type="dxa"/>
            <w:tcBorders>
              <w:top w:val="single" w:sz="4" w:space="0" w:color="auto"/>
            </w:tcBorders>
          </w:tcPr>
          <w:p w14:paraId="63ED4193" w14:textId="77777777" w:rsidR="00CD435B" w:rsidRPr="00902BEE" w:rsidRDefault="00CD435B" w:rsidP="00902BEE">
            <w:pPr>
              <w:spacing w:line="240" w:lineRule="auto"/>
              <w:ind w:firstLine="0"/>
              <w:rPr>
                <w:rFonts w:asciiTheme="minorHAnsi" w:hAnsiTheme="minorHAnsi" w:cstheme="minorHAnsi"/>
                <w:sz w:val="22"/>
                <w:szCs w:val="22"/>
              </w:rPr>
            </w:pPr>
          </w:p>
        </w:tc>
      </w:tr>
      <w:tr w:rsidR="00CD435B" w:rsidRPr="00CD435B" w14:paraId="7D178B22" w14:textId="77777777" w:rsidTr="006A68F1">
        <w:tc>
          <w:tcPr>
            <w:tcW w:w="2405" w:type="dxa"/>
          </w:tcPr>
          <w:p w14:paraId="4419036A"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Male</w:t>
            </w:r>
          </w:p>
        </w:tc>
        <w:tc>
          <w:tcPr>
            <w:tcW w:w="2982" w:type="dxa"/>
          </w:tcPr>
          <w:p w14:paraId="0EA4E389"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32.9</w:t>
            </w:r>
          </w:p>
        </w:tc>
        <w:tc>
          <w:tcPr>
            <w:tcW w:w="1701" w:type="dxa"/>
          </w:tcPr>
          <w:p w14:paraId="66B9B311"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36.9</w:t>
            </w:r>
          </w:p>
        </w:tc>
      </w:tr>
      <w:tr w:rsidR="00CD435B" w:rsidRPr="00CD435B" w14:paraId="18631D74" w14:textId="77777777" w:rsidTr="006A68F1">
        <w:tc>
          <w:tcPr>
            <w:tcW w:w="2405" w:type="dxa"/>
          </w:tcPr>
          <w:p w14:paraId="0B419024"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Female</w:t>
            </w:r>
          </w:p>
        </w:tc>
        <w:tc>
          <w:tcPr>
            <w:tcW w:w="2982" w:type="dxa"/>
          </w:tcPr>
          <w:p w14:paraId="6D43610F"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67.1</w:t>
            </w:r>
          </w:p>
        </w:tc>
        <w:tc>
          <w:tcPr>
            <w:tcW w:w="1701" w:type="dxa"/>
          </w:tcPr>
          <w:p w14:paraId="4CEF6E31"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63.1</w:t>
            </w:r>
          </w:p>
        </w:tc>
      </w:tr>
      <w:tr w:rsidR="00CD435B" w:rsidRPr="00CD435B" w14:paraId="0F483D69" w14:textId="77777777" w:rsidTr="006A68F1">
        <w:tc>
          <w:tcPr>
            <w:tcW w:w="2405" w:type="dxa"/>
          </w:tcPr>
          <w:p w14:paraId="2D6DA1D7"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Under 19</w:t>
            </w:r>
          </w:p>
        </w:tc>
        <w:tc>
          <w:tcPr>
            <w:tcW w:w="2982" w:type="dxa"/>
          </w:tcPr>
          <w:p w14:paraId="61E67F82"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37.3</w:t>
            </w:r>
          </w:p>
        </w:tc>
        <w:tc>
          <w:tcPr>
            <w:tcW w:w="1701" w:type="dxa"/>
          </w:tcPr>
          <w:p w14:paraId="62B6863A"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25.9</w:t>
            </w:r>
          </w:p>
        </w:tc>
      </w:tr>
      <w:tr w:rsidR="00CD435B" w:rsidRPr="00CD435B" w14:paraId="2082FE11" w14:textId="77777777" w:rsidTr="006A68F1">
        <w:tc>
          <w:tcPr>
            <w:tcW w:w="2405" w:type="dxa"/>
            <w:tcBorders>
              <w:bottom w:val="single" w:sz="4" w:space="0" w:color="auto"/>
            </w:tcBorders>
          </w:tcPr>
          <w:p w14:paraId="61688C8E"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19 and over</w:t>
            </w:r>
          </w:p>
        </w:tc>
        <w:tc>
          <w:tcPr>
            <w:tcW w:w="2982" w:type="dxa"/>
            <w:tcBorders>
              <w:bottom w:val="single" w:sz="4" w:space="0" w:color="auto"/>
            </w:tcBorders>
          </w:tcPr>
          <w:p w14:paraId="02E51242"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62.7</w:t>
            </w:r>
          </w:p>
        </w:tc>
        <w:tc>
          <w:tcPr>
            <w:tcW w:w="1701" w:type="dxa"/>
            <w:tcBorders>
              <w:bottom w:val="single" w:sz="4" w:space="0" w:color="auto"/>
            </w:tcBorders>
          </w:tcPr>
          <w:p w14:paraId="28FA2C52" w14:textId="77777777" w:rsidR="00CD435B" w:rsidRPr="00902BEE" w:rsidRDefault="00CD435B" w:rsidP="00902BEE">
            <w:pPr>
              <w:spacing w:line="240" w:lineRule="auto"/>
              <w:ind w:firstLine="0"/>
              <w:rPr>
                <w:rFonts w:asciiTheme="minorHAnsi" w:hAnsiTheme="minorHAnsi" w:cstheme="minorHAnsi"/>
                <w:sz w:val="22"/>
                <w:szCs w:val="22"/>
              </w:rPr>
            </w:pPr>
            <w:r w:rsidRPr="00902BEE">
              <w:rPr>
                <w:rFonts w:asciiTheme="minorHAnsi" w:hAnsiTheme="minorHAnsi" w:cstheme="minorHAnsi"/>
                <w:sz w:val="22"/>
                <w:szCs w:val="22"/>
              </w:rPr>
              <w:t>74.1</w:t>
            </w:r>
          </w:p>
        </w:tc>
      </w:tr>
      <w:tr w:rsidR="00CD435B" w:rsidRPr="00902BEE" w14:paraId="4F14DA43" w14:textId="77777777" w:rsidTr="006A68F1">
        <w:tc>
          <w:tcPr>
            <w:tcW w:w="2405" w:type="dxa"/>
            <w:tcBorders>
              <w:top w:val="single" w:sz="4" w:space="0" w:color="auto"/>
            </w:tcBorders>
          </w:tcPr>
          <w:p w14:paraId="5C59861A" w14:textId="77777777" w:rsidR="00CD435B" w:rsidRPr="00902BEE" w:rsidRDefault="00CD435B" w:rsidP="00902BEE">
            <w:pPr>
              <w:spacing w:line="240" w:lineRule="auto"/>
              <w:ind w:firstLine="0"/>
              <w:rPr>
                <w:rFonts w:ascii="Calibri" w:hAnsi="Calibri" w:cs="Calibri"/>
                <w:sz w:val="22"/>
                <w:szCs w:val="22"/>
              </w:rPr>
            </w:pPr>
          </w:p>
          <w:p w14:paraId="717A6890"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Deprivation Index</w:t>
            </w:r>
          </w:p>
          <w:p w14:paraId="000A4358" w14:textId="77777777" w:rsidR="00CD435B" w:rsidRPr="00902BEE" w:rsidRDefault="00CD435B" w:rsidP="00902BEE">
            <w:pPr>
              <w:spacing w:line="240" w:lineRule="auto"/>
              <w:ind w:firstLine="0"/>
              <w:rPr>
                <w:rFonts w:ascii="Calibri" w:hAnsi="Calibri" w:cs="Calibri"/>
                <w:sz w:val="22"/>
                <w:szCs w:val="22"/>
              </w:rPr>
            </w:pPr>
          </w:p>
        </w:tc>
        <w:tc>
          <w:tcPr>
            <w:tcW w:w="2982" w:type="dxa"/>
            <w:tcBorders>
              <w:top w:val="single" w:sz="4" w:space="0" w:color="auto"/>
            </w:tcBorders>
          </w:tcPr>
          <w:p w14:paraId="24C63128" w14:textId="77777777" w:rsidR="00CD435B" w:rsidRPr="00902BEE" w:rsidRDefault="00CD435B" w:rsidP="00902BEE">
            <w:pPr>
              <w:spacing w:line="240" w:lineRule="auto"/>
              <w:ind w:firstLine="0"/>
              <w:rPr>
                <w:rFonts w:ascii="Calibri" w:hAnsi="Calibri" w:cs="Calibri"/>
                <w:sz w:val="22"/>
                <w:szCs w:val="22"/>
              </w:rPr>
            </w:pPr>
          </w:p>
          <w:p w14:paraId="6258891F"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Townsend Quintile</w:t>
            </w:r>
          </w:p>
        </w:tc>
        <w:tc>
          <w:tcPr>
            <w:tcW w:w="1701" w:type="dxa"/>
            <w:tcBorders>
              <w:top w:val="single" w:sz="4" w:space="0" w:color="auto"/>
            </w:tcBorders>
          </w:tcPr>
          <w:p w14:paraId="79915D93" w14:textId="77777777" w:rsidR="00CD435B" w:rsidRPr="00902BEE" w:rsidRDefault="00CD435B" w:rsidP="00902BEE">
            <w:pPr>
              <w:spacing w:line="240" w:lineRule="auto"/>
              <w:ind w:firstLine="0"/>
              <w:rPr>
                <w:rFonts w:ascii="Calibri" w:hAnsi="Calibri" w:cs="Calibri"/>
                <w:sz w:val="22"/>
                <w:szCs w:val="22"/>
              </w:rPr>
            </w:pPr>
          </w:p>
          <w:p w14:paraId="58BFBF25"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IMD</w:t>
            </w:r>
          </w:p>
        </w:tc>
      </w:tr>
      <w:tr w:rsidR="00CD435B" w:rsidRPr="00902BEE" w14:paraId="30AD91FC" w14:textId="77777777" w:rsidTr="006A68F1">
        <w:tc>
          <w:tcPr>
            <w:tcW w:w="2405" w:type="dxa"/>
          </w:tcPr>
          <w:p w14:paraId="6E0624CA"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1</w:t>
            </w:r>
          </w:p>
        </w:tc>
        <w:tc>
          <w:tcPr>
            <w:tcW w:w="2982" w:type="dxa"/>
          </w:tcPr>
          <w:p w14:paraId="7CBE3B29"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16.8</w:t>
            </w:r>
          </w:p>
        </w:tc>
        <w:tc>
          <w:tcPr>
            <w:tcW w:w="1701" w:type="dxa"/>
          </w:tcPr>
          <w:p w14:paraId="28F095BF"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15.5</w:t>
            </w:r>
          </w:p>
        </w:tc>
      </w:tr>
      <w:tr w:rsidR="00CD435B" w:rsidRPr="00902BEE" w14:paraId="32400376" w14:textId="77777777" w:rsidTr="006A68F1">
        <w:tc>
          <w:tcPr>
            <w:tcW w:w="2405" w:type="dxa"/>
          </w:tcPr>
          <w:p w14:paraId="0DC642F9"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2</w:t>
            </w:r>
          </w:p>
        </w:tc>
        <w:tc>
          <w:tcPr>
            <w:tcW w:w="2982" w:type="dxa"/>
          </w:tcPr>
          <w:p w14:paraId="0A03F672"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15.9</w:t>
            </w:r>
          </w:p>
        </w:tc>
        <w:tc>
          <w:tcPr>
            <w:tcW w:w="1701" w:type="dxa"/>
          </w:tcPr>
          <w:p w14:paraId="5512186D"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17.2</w:t>
            </w:r>
          </w:p>
        </w:tc>
      </w:tr>
      <w:tr w:rsidR="00CD435B" w:rsidRPr="00902BEE" w14:paraId="3198F54A" w14:textId="77777777" w:rsidTr="006A68F1">
        <w:tc>
          <w:tcPr>
            <w:tcW w:w="2405" w:type="dxa"/>
          </w:tcPr>
          <w:p w14:paraId="5CD194FD"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3</w:t>
            </w:r>
          </w:p>
        </w:tc>
        <w:tc>
          <w:tcPr>
            <w:tcW w:w="2982" w:type="dxa"/>
          </w:tcPr>
          <w:p w14:paraId="6F4DA6EB"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20</w:t>
            </w:r>
          </w:p>
        </w:tc>
        <w:tc>
          <w:tcPr>
            <w:tcW w:w="1701" w:type="dxa"/>
          </w:tcPr>
          <w:p w14:paraId="11096CA0"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17</w:t>
            </w:r>
          </w:p>
        </w:tc>
      </w:tr>
      <w:tr w:rsidR="00CD435B" w:rsidRPr="00902BEE" w14:paraId="1E6B38FD" w14:textId="77777777" w:rsidTr="006A68F1">
        <w:tc>
          <w:tcPr>
            <w:tcW w:w="2405" w:type="dxa"/>
          </w:tcPr>
          <w:p w14:paraId="5406F671"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4</w:t>
            </w:r>
          </w:p>
        </w:tc>
        <w:tc>
          <w:tcPr>
            <w:tcW w:w="2982" w:type="dxa"/>
          </w:tcPr>
          <w:p w14:paraId="2A292FBC"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23.6</w:t>
            </w:r>
          </w:p>
        </w:tc>
        <w:tc>
          <w:tcPr>
            <w:tcW w:w="1701" w:type="dxa"/>
          </w:tcPr>
          <w:p w14:paraId="0918FB3E"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25.2</w:t>
            </w:r>
          </w:p>
        </w:tc>
      </w:tr>
      <w:tr w:rsidR="00CD435B" w:rsidRPr="00902BEE" w14:paraId="5975A6BC" w14:textId="77777777" w:rsidTr="006A68F1">
        <w:tc>
          <w:tcPr>
            <w:tcW w:w="2405" w:type="dxa"/>
            <w:tcBorders>
              <w:bottom w:val="single" w:sz="4" w:space="0" w:color="auto"/>
            </w:tcBorders>
          </w:tcPr>
          <w:p w14:paraId="127615FC"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5</w:t>
            </w:r>
          </w:p>
        </w:tc>
        <w:tc>
          <w:tcPr>
            <w:tcW w:w="2982" w:type="dxa"/>
            <w:tcBorders>
              <w:bottom w:val="single" w:sz="4" w:space="0" w:color="auto"/>
            </w:tcBorders>
          </w:tcPr>
          <w:p w14:paraId="57361061"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20</w:t>
            </w:r>
          </w:p>
        </w:tc>
        <w:tc>
          <w:tcPr>
            <w:tcW w:w="1701" w:type="dxa"/>
            <w:tcBorders>
              <w:bottom w:val="single" w:sz="4" w:space="0" w:color="auto"/>
            </w:tcBorders>
          </w:tcPr>
          <w:p w14:paraId="501F3D0B" w14:textId="77777777" w:rsidR="00CD435B" w:rsidRPr="00902BEE" w:rsidRDefault="00CD435B" w:rsidP="00902BEE">
            <w:pPr>
              <w:spacing w:line="240" w:lineRule="auto"/>
              <w:ind w:firstLine="0"/>
              <w:rPr>
                <w:rFonts w:ascii="Calibri" w:hAnsi="Calibri" w:cs="Calibri"/>
                <w:sz w:val="22"/>
                <w:szCs w:val="22"/>
              </w:rPr>
            </w:pPr>
            <w:r w:rsidRPr="00902BEE">
              <w:rPr>
                <w:rFonts w:ascii="Calibri" w:hAnsi="Calibri" w:cs="Calibri"/>
                <w:sz w:val="22"/>
                <w:szCs w:val="22"/>
              </w:rPr>
              <w:t>24.1</w:t>
            </w:r>
          </w:p>
        </w:tc>
      </w:tr>
    </w:tbl>
    <w:p w14:paraId="7FDB19C0" w14:textId="77777777" w:rsidR="00CD435B" w:rsidRDefault="00CD435B" w:rsidP="00764234"/>
    <w:p w14:paraId="20D1EAA2" w14:textId="3A393E2F" w:rsidR="00534022" w:rsidRDefault="00534022" w:rsidP="00764234">
      <w:pPr>
        <w:pStyle w:val="Heading2"/>
      </w:pPr>
      <w:r>
        <w:t>Appendix</w:t>
      </w:r>
      <w:r w:rsidR="00F36537">
        <w:t xml:space="preserve"> D </w:t>
      </w:r>
      <w:r>
        <w:t>- Townsend vs IMD Deprivation Indices.</w:t>
      </w:r>
    </w:p>
    <w:p w14:paraId="35A75EE2" w14:textId="4F4591DB" w:rsidR="00534022" w:rsidRDefault="00534022" w:rsidP="00764234">
      <w:r w:rsidRPr="00534022">
        <w:t xml:space="preserve">For the Townsend Index individual areas are assessed against a set of four deprivation criteria, for example unemployment, car ownership and home ownership, then given a ranking of 1 to 5. For the IMD the individual areas are ranked for a larger number of similar, but not identical, criteria continuously across the country from least to most; this can then be subdivided into quintiles to give the equivalent of the Townsend 1 to 5 index value. IMD is a more sophisticated measure but has </w:t>
      </w:r>
      <w:r w:rsidRPr="00534022">
        <w:lastRenderedPageBreak/>
        <w:t xml:space="preserve">been shown to be broadly equivalent and is thus considered an acceptable replacement (Chapter 8: A </w:t>
      </w:r>
      <w:r w:rsidR="00984E77">
        <w:t>c</w:t>
      </w:r>
      <w:r w:rsidRPr="00534022">
        <w:t>omparison of deprivation indices: Townsend 4 and Index of Multiple Deprivation 2004. (n.d.)).</w:t>
      </w:r>
    </w:p>
    <w:p w14:paraId="1C7ADFF2" w14:textId="371DEAE0" w:rsidR="00331956" w:rsidRDefault="00331956" w:rsidP="00764234">
      <w:pPr>
        <w:pStyle w:val="Heading2"/>
      </w:pPr>
      <w:r>
        <w:t xml:space="preserve">Appendix </w:t>
      </w:r>
      <w:r w:rsidR="00F36537">
        <w:t>E</w:t>
      </w:r>
      <w:r>
        <w:t xml:space="preserve"> - Predictor Prevalence Comparison</w:t>
      </w:r>
    </w:p>
    <w:p w14:paraId="30C7D7EE" w14:textId="32F36663" w:rsidR="008A1281" w:rsidRPr="004320C0" w:rsidRDefault="008A1281" w:rsidP="004320C0">
      <w:pPr>
        <w:pStyle w:val="Caption"/>
        <w:ind w:firstLine="0"/>
        <w:rPr>
          <w:rFonts w:asciiTheme="minorHAnsi" w:hAnsiTheme="minorHAnsi" w:cstheme="minorHAnsi"/>
          <w:b/>
          <w:bCs/>
          <w:i w:val="0"/>
          <w:iCs w:val="0"/>
          <w:sz w:val="22"/>
          <w:szCs w:val="22"/>
        </w:rPr>
      </w:pPr>
      <w:r w:rsidRPr="004320C0">
        <w:rPr>
          <w:rFonts w:asciiTheme="minorHAnsi" w:hAnsiTheme="minorHAnsi" w:cstheme="minorHAnsi"/>
          <w:b/>
          <w:bCs/>
          <w:i w:val="0"/>
          <w:iCs w:val="0"/>
          <w:sz w:val="22"/>
          <w:szCs w:val="22"/>
        </w:rPr>
        <w:t xml:space="preserve">Table </w:t>
      </w:r>
      <w:r w:rsidRPr="004320C0">
        <w:rPr>
          <w:rFonts w:asciiTheme="minorHAnsi" w:hAnsiTheme="minorHAnsi" w:cstheme="minorHAnsi"/>
          <w:b/>
          <w:bCs/>
          <w:i w:val="0"/>
          <w:iCs w:val="0"/>
          <w:sz w:val="22"/>
          <w:szCs w:val="22"/>
        </w:rPr>
        <w:fldChar w:fldCharType="begin"/>
      </w:r>
      <w:r w:rsidRPr="004320C0">
        <w:rPr>
          <w:rFonts w:asciiTheme="minorHAnsi" w:hAnsiTheme="minorHAnsi" w:cstheme="minorHAnsi"/>
          <w:b/>
          <w:bCs/>
          <w:i w:val="0"/>
          <w:iCs w:val="0"/>
          <w:sz w:val="22"/>
          <w:szCs w:val="22"/>
        </w:rPr>
        <w:instrText xml:space="preserve"> SEQ Table \* ARABIC </w:instrText>
      </w:r>
      <w:r w:rsidRPr="004320C0">
        <w:rPr>
          <w:rFonts w:asciiTheme="minorHAnsi" w:hAnsiTheme="minorHAnsi" w:cstheme="minorHAnsi"/>
          <w:b/>
          <w:bCs/>
          <w:i w:val="0"/>
          <w:iCs w:val="0"/>
          <w:sz w:val="22"/>
          <w:szCs w:val="22"/>
        </w:rPr>
        <w:fldChar w:fldCharType="separate"/>
      </w:r>
      <w:r w:rsidR="00D077A3" w:rsidRPr="004320C0">
        <w:rPr>
          <w:rFonts w:asciiTheme="minorHAnsi" w:hAnsiTheme="minorHAnsi" w:cstheme="minorHAnsi"/>
          <w:b/>
          <w:bCs/>
          <w:i w:val="0"/>
          <w:iCs w:val="0"/>
          <w:noProof/>
          <w:sz w:val="22"/>
          <w:szCs w:val="22"/>
        </w:rPr>
        <w:t>7</w:t>
      </w:r>
      <w:r w:rsidRPr="004320C0">
        <w:rPr>
          <w:rFonts w:asciiTheme="minorHAnsi" w:hAnsiTheme="minorHAnsi" w:cstheme="minorHAnsi"/>
          <w:b/>
          <w:bCs/>
          <w:i w:val="0"/>
          <w:iCs w:val="0"/>
          <w:sz w:val="22"/>
          <w:szCs w:val="22"/>
        </w:rPr>
        <w:fldChar w:fldCharType="end"/>
      </w:r>
      <w:r w:rsidRPr="004320C0">
        <w:rPr>
          <w:rFonts w:asciiTheme="minorHAnsi" w:hAnsiTheme="minorHAnsi" w:cstheme="minorHAnsi"/>
          <w:b/>
          <w:bCs/>
          <w:i w:val="0"/>
          <w:iCs w:val="0"/>
          <w:sz w:val="22"/>
          <w:szCs w:val="22"/>
        </w:rPr>
        <w:t xml:space="preserve"> </w:t>
      </w:r>
    </w:p>
    <w:p w14:paraId="7DB388E5" w14:textId="77777777" w:rsidR="008A1281" w:rsidRPr="004320C0" w:rsidRDefault="008A1281" w:rsidP="004320C0">
      <w:pPr>
        <w:pStyle w:val="Caption"/>
        <w:ind w:firstLine="0"/>
        <w:rPr>
          <w:rFonts w:ascii="Calibri" w:hAnsi="Calibri" w:cs="Calibri"/>
          <w:sz w:val="22"/>
          <w:szCs w:val="22"/>
        </w:rPr>
      </w:pPr>
      <w:r w:rsidRPr="004320C0">
        <w:rPr>
          <w:rFonts w:ascii="Calibri" w:hAnsi="Calibri" w:cs="Calibri"/>
          <w:sz w:val="22"/>
          <w:szCs w:val="22"/>
        </w:rPr>
        <w:t>Predictor prevalence in NRCBM and the non-overlapping replication datasets.</w:t>
      </w:r>
    </w:p>
    <w:tbl>
      <w:tblPr>
        <w:tblW w:w="9624" w:type="dxa"/>
        <w:tblLook w:val="04A0" w:firstRow="1" w:lastRow="0" w:firstColumn="1" w:lastColumn="0" w:noHBand="0" w:noVBand="1"/>
      </w:tblPr>
      <w:tblGrid>
        <w:gridCol w:w="1751"/>
        <w:gridCol w:w="1226"/>
        <w:gridCol w:w="1276"/>
        <w:gridCol w:w="1376"/>
        <w:gridCol w:w="1557"/>
        <w:gridCol w:w="1219"/>
        <w:gridCol w:w="1219"/>
      </w:tblGrid>
      <w:tr w:rsidR="008A1281" w:rsidRPr="00127E34" w14:paraId="2D522DD3" w14:textId="77777777" w:rsidTr="006A68F1">
        <w:trPr>
          <w:trHeight w:val="300"/>
          <w:tblHeader/>
        </w:trPr>
        <w:tc>
          <w:tcPr>
            <w:tcW w:w="1751" w:type="dxa"/>
            <w:tcBorders>
              <w:top w:val="nil"/>
              <w:left w:val="nil"/>
              <w:bottom w:val="single" w:sz="4" w:space="0" w:color="auto"/>
              <w:right w:val="nil"/>
            </w:tcBorders>
            <w:shd w:val="clear" w:color="auto" w:fill="auto"/>
            <w:noWrap/>
            <w:vAlign w:val="bottom"/>
            <w:hideMark/>
          </w:tcPr>
          <w:p w14:paraId="6B97A550" w14:textId="77777777" w:rsidR="008A1281" w:rsidRPr="00BF7523" w:rsidRDefault="008A1281" w:rsidP="004320C0">
            <w:pPr>
              <w:spacing w:after="0" w:line="240" w:lineRule="auto"/>
            </w:pPr>
            <w:r w:rsidRPr="00BF7523">
              <w:t>Predictor</w:t>
            </w:r>
          </w:p>
        </w:tc>
        <w:tc>
          <w:tcPr>
            <w:tcW w:w="1226" w:type="dxa"/>
            <w:tcBorders>
              <w:top w:val="nil"/>
              <w:left w:val="nil"/>
              <w:bottom w:val="single" w:sz="4" w:space="0" w:color="auto"/>
              <w:right w:val="nil"/>
            </w:tcBorders>
            <w:shd w:val="clear" w:color="auto" w:fill="auto"/>
            <w:noWrap/>
            <w:vAlign w:val="bottom"/>
            <w:hideMark/>
          </w:tcPr>
          <w:p w14:paraId="33ADCC19" w14:textId="77777777" w:rsidR="008A1281" w:rsidRPr="00BF7523" w:rsidRDefault="008A1281" w:rsidP="004320C0">
            <w:pPr>
              <w:spacing w:after="0" w:line="240" w:lineRule="auto"/>
            </w:pPr>
            <w:r w:rsidRPr="00BF7523">
              <w:t>NRCBM  Case %</w:t>
            </w:r>
          </w:p>
        </w:tc>
        <w:tc>
          <w:tcPr>
            <w:tcW w:w="1276" w:type="dxa"/>
            <w:tcBorders>
              <w:top w:val="nil"/>
              <w:left w:val="nil"/>
              <w:bottom w:val="single" w:sz="4" w:space="0" w:color="auto"/>
              <w:right w:val="nil"/>
            </w:tcBorders>
            <w:shd w:val="clear" w:color="auto" w:fill="auto"/>
            <w:noWrap/>
            <w:vAlign w:val="bottom"/>
            <w:hideMark/>
          </w:tcPr>
          <w:p w14:paraId="2D7BB36D" w14:textId="77777777" w:rsidR="008A1281" w:rsidRPr="00BF7523" w:rsidRDefault="008A1281" w:rsidP="004320C0">
            <w:pPr>
              <w:spacing w:after="0" w:line="240" w:lineRule="auto"/>
            </w:pPr>
            <w:r w:rsidRPr="00BF7523">
              <w:t>NRCBM Control %</w:t>
            </w:r>
          </w:p>
        </w:tc>
        <w:tc>
          <w:tcPr>
            <w:tcW w:w="1376" w:type="dxa"/>
            <w:tcBorders>
              <w:top w:val="nil"/>
              <w:left w:val="nil"/>
              <w:bottom w:val="single" w:sz="4" w:space="0" w:color="auto"/>
              <w:right w:val="nil"/>
            </w:tcBorders>
            <w:shd w:val="clear" w:color="auto" w:fill="auto"/>
            <w:noWrap/>
            <w:vAlign w:val="bottom"/>
            <w:hideMark/>
          </w:tcPr>
          <w:p w14:paraId="7D9F15FD" w14:textId="77777777" w:rsidR="008A1281" w:rsidRPr="00BF7523" w:rsidRDefault="008A1281" w:rsidP="004320C0">
            <w:pPr>
              <w:spacing w:after="0" w:line="240" w:lineRule="auto"/>
            </w:pPr>
            <w:r w:rsidRPr="00BF7523">
              <w:t>Replication Case %</w:t>
            </w:r>
          </w:p>
        </w:tc>
        <w:tc>
          <w:tcPr>
            <w:tcW w:w="1557" w:type="dxa"/>
            <w:tcBorders>
              <w:top w:val="nil"/>
              <w:left w:val="nil"/>
              <w:bottom w:val="single" w:sz="4" w:space="0" w:color="auto"/>
              <w:right w:val="nil"/>
            </w:tcBorders>
            <w:shd w:val="clear" w:color="auto" w:fill="auto"/>
            <w:noWrap/>
            <w:vAlign w:val="bottom"/>
            <w:hideMark/>
          </w:tcPr>
          <w:p w14:paraId="5B1B905B" w14:textId="77777777" w:rsidR="008A1281" w:rsidRPr="00BF7523" w:rsidRDefault="008A1281" w:rsidP="004320C0">
            <w:pPr>
              <w:spacing w:after="0" w:line="240" w:lineRule="auto"/>
            </w:pPr>
            <w:r w:rsidRPr="00BF7523">
              <w:t>Replication Control %</w:t>
            </w:r>
          </w:p>
        </w:tc>
        <w:tc>
          <w:tcPr>
            <w:tcW w:w="1219" w:type="dxa"/>
            <w:tcBorders>
              <w:top w:val="nil"/>
              <w:left w:val="nil"/>
              <w:bottom w:val="single" w:sz="4" w:space="0" w:color="auto"/>
              <w:right w:val="nil"/>
            </w:tcBorders>
            <w:shd w:val="clear" w:color="auto" w:fill="auto"/>
            <w:noWrap/>
            <w:vAlign w:val="bottom"/>
            <w:hideMark/>
          </w:tcPr>
          <w:p w14:paraId="4B7DE03B" w14:textId="77777777" w:rsidR="008A1281" w:rsidRPr="00BF7523" w:rsidRDefault="008A1281" w:rsidP="004320C0">
            <w:pPr>
              <w:spacing w:after="0" w:line="240" w:lineRule="auto"/>
            </w:pPr>
            <w:r w:rsidRPr="00BF7523">
              <w:t xml:space="preserve">Case </w:t>
            </w:r>
          </w:p>
          <w:p w14:paraId="371003DC" w14:textId="77777777" w:rsidR="008A1281" w:rsidRPr="00BF7523" w:rsidRDefault="008A1281" w:rsidP="004320C0">
            <w:pPr>
              <w:spacing w:after="0" w:line="240" w:lineRule="auto"/>
            </w:pPr>
            <w:r w:rsidRPr="00BF7523">
              <w:t>Difference</w:t>
            </w:r>
          </w:p>
        </w:tc>
        <w:tc>
          <w:tcPr>
            <w:tcW w:w="1219" w:type="dxa"/>
            <w:tcBorders>
              <w:top w:val="nil"/>
              <w:left w:val="nil"/>
              <w:bottom w:val="single" w:sz="4" w:space="0" w:color="auto"/>
              <w:right w:val="nil"/>
            </w:tcBorders>
            <w:shd w:val="clear" w:color="auto" w:fill="auto"/>
            <w:noWrap/>
            <w:vAlign w:val="bottom"/>
            <w:hideMark/>
          </w:tcPr>
          <w:p w14:paraId="7C70F33F" w14:textId="77777777" w:rsidR="008A1281" w:rsidRPr="00BF7523" w:rsidRDefault="008A1281" w:rsidP="004320C0">
            <w:pPr>
              <w:spacing w:after="0" w:line="240" w:lineRule="auto"/>
            </w:pPr>
            <w:r w:rsidRPr="00BF7523">
              <w:t xml:space="preserve">Control </w:t>
            </w:r>
          </w:p>
          <w:p w14:paraId="1430C069" w14:textId="77777777" w:rsidR="008A1281" w:rsidRPr="00BF7523" w:rsidRDefault="008A1281" w:rsidP="004320C0">
            <w:pPr>
              <w:spacing w:after="0" w:line="240" w:lineRule="auto"/>
            </w:pPr>
            <w:r w:rsidRPr="00BF7523">
              <w:t>Difference</w:t>
            </w:r>
          </w:p>
        </w:tc>
      </w:tr>
      <w:tr w:rsidR="008A1281" w:rsidRPr="00127E34" w14:paraId="4D7A5446" w14:textId="77777777" w:rsidTr="006A68F1">
        <w:trPr>
          <w:trHeight w:val="300"/>
        </w:trPr>
        <w:tc>
          <w:tcPr>
            <w:tcW w:w="1751" w:type="dxa"/>
            <w:tcBorders>
              <w:top w:val="single" w:sz="4" w:space="0" w:color="auto"/>
              <w:left w:val="nil"/>
              <w:bottom w:val="nil"/>
              <w:right w:val="nil"/>
            </w:tcBorders>
            <w:shd w:val="clear" w:color="auto" w:fill="auto"/>
            <w:noWrap/>
            <w:vAlign w:val="bottom"/>
            <w:hideMark/>
          </w:tcPr>
          <w:p w14:paraId="44B4BB8A" w14:textId="77777777" w:rsidR="008A1281" w:rsidRPr="00EA28CB" w:rsidRDefault="008A1281" w:rsidP="004320C0">
            <w:pPr>
              <w:spacing w:after="0" w:line="240" w:lineRule="auto"/>
            </w:pPr>
            <w:r w:rsidRPr="00EA28CB">
              <w:t>Anxiety</w:t>
            </w:r>
          </w:p>
        </w:tc>
        <w:tc>
          <w:tcPr>
            <w:tcW w:w="1226" w:type="dxa"/>
            <w:tcBorders>
              <w:top w:val="single" w:sz="4" w:space="0" w:color="auto"/>
              <w:left w:val="nil"/>
              <w:bottom w:val="nil"/>
              <w:right w:val="nil"/>
            </w:tcBorders>
            <w:shd w:val="clear" w:color="auto" w:fill="auto"/>
            <w:noWrap/>
            <w:vAlign w:val="bottom"/>
            <w:hideMark/>
          </w:tcPr>
          <w:p w14:paraId="648B6656" w14:textId="77777777" w:rsidR="008A1281" w:rsidRPr="00EA28CB" w:rsidRDefault="008A1281" w:rsidP="004320C0">
            <w:pPr>
              <w:spacing w:after="0" w:line="240" w:lineRule="auto"/>
            </w:pPr>
            <w:r w:rsidRPr="00EA28CB">
              <w:t>4.99</w:t>
            </w:r>
          </w:p>
        </w:tc>
        <w:tc>
          <w:tcPr>
            <w:tcW w:w="1276" w:type="dxa"/>
            <w:tcBorders>
              <w:top w:val="single" w:sz="4" w:space="0" w:color="auto"/>
              <w:left w:val="nil"/>
              <w:bottom w:val="nil"/>
              <w:right w:val="nil"/>
            </w:tcBorders>
            <w:shd w:val="clear" w:color="auto" w:fill="auto"/>
            <w:noWrap/>
            <w:vAlign w:val="bottom"/>
            <w:hideMark/>
          </w:tcPr>
          <w:p w14:paraId="52E1DCD7" w14:textId="68C7DB61" w:rsidR="008A1281" w:rsidRPr="00EA28CB" w:rsidRDefault="008A1281" w:rsidP="004320C0">
            <w:pPr>
              <w:spacing w:after="0" w:line="240" w:lineRule="auto"/>
            </w:pPr>
            <w:r w:rsidRPr="00EA28CB">
              <w:t>1.1</w:t>
            </w:r>
            <w:r w:rsidR="00B25D8B">
              <w:t>0</w:t>
            </w:r>
          </w:p>
        </w:tc>
        <w:tc>
          <w:tcPr>
            <w:tcW w:w="1376" w:type="dxa"/>
            <w:tcBorders>
              <w:top w:val="single" w:sz="4" w:space="0" w:color="auto"/>
              <w:left w:val="nil"/>
              <w:bottom w:val="nil"/>
              <w:right w:val="nil"/>
            </w:tcBorders>
            <w:shd w:val="clear" w:color="auto" w:fill="auto"/>
            <w:noWrap/>
            <w:vAlign w:val="bottom"/>
            <w:hideMark/>
          </w:tcPr>
          <w:p w14:paraId="3DE1F7A7" w14:textId="77777777" w:rsidR="008A1281" w:rsidRPr="00047248" w:rsidRDefault="008A1281" w:rsidP="004320C0">
            <w:pPr>
              <w:spacing w:after="0" w:line="240" w:lineRule="auto"/>
            </w:pPr>
            <w:r w:rsidRPr="00047248">
              <w:t>9.24</w:t>
            </w:r>
          </w:p>
        </w:tc>
        <w:tc>
          <w:tcPr>
            <w:tcW w:w="1557" w:type="dxa"/>
            <w:tcBorders>
              <w:top w:val="single" w:sz="4" w:space="0" w:color="auto"/>
              <w:left w:val="nil"/>
              <w:bottom w:val="nil"/>
              <w:right w:val="nil"/>
            </w:tcBorders>
            <w:shd w:val="clear" w:color="auto" w:fill="auto"/>
            <w:noWrap/>
            <w:vAlign w:val="bottom"/>
            <w:hideMark/>
          </w:tcPr>
          <w:p w14:paraId="20E68974" w14:textId="77777777" w:rsidR="008A1281" w:rsidRPr="00047248" w:rsidRDefault="008A1281" w:rsidP="004320C0">
            <w:pPr>
              <w:spacing w:after="0" w:line="240" w:lineRule="auto"/>
            </w:pPr>
            <w:r w:rsidRPr="00047248">
              <w:t>0.76</w:t>
            </w:r>
          </w:p>
        </w:tc>
        <w:tc>
          <w:tcPr>
            <w:tcW w:w="1219" w:type="dxa"/>
            <w:tcBorders>
              <w:top w:val="single" w:sz="4" w:space="0" w:color="auto"/>
              <w:left w:val="nil"/>
              <w:bottom w:val="nil"/>
              <w:right w:val="nil"/>
            </w:tcBorders>
            <w:shd w:val="clear" w:color="auto" w:fill="auto"/>
            <w:noWrap/>
            <w:vAlign w:val="bottom"/>
            <w:hideMark/>
          </w:tcPr>
          <w:p w14:paraId="4733DB11" w14:textId="77777777" w:rsidR="008A1281" w:rsidRPr="00047248" w:rsidRDefault="008A1281" w:rsidP="004320C0">
            <w:pPr>
              <w:spacing w:after="0" w:line="240" w:lineRule="auto"/>
            </w:pPr>
            <w:r w:rsidRPr="00047248">
              <w:t>4.25</w:t>
            </w:r>
          </w:p>
        </w:tc>
        <w:tc>
          <w:tcPr>
            <w:tcW w:w="1219" w:type="dxa"/>
            <w:tcBorders>
              <w:top w:val="single" w:sz="4" w:space="0" w:color="auto"/>
              <w:left w:val="nil"/>
              <w:bottom w:val="nil"/>
              <w:right w:val="nil"/>
            </w:tcBorders>
            <w:shd w:val="clear" w:color="auto" w:fill="auto"/>
            <w:noWrap/>
            <w:vAlign w:val="bottom"/>
            <w:hideMark/>
          </w:tcPr>
          <w:p w14:paraId="2B67F04C" w14:textId="77777777" w:rsidR="008A1281" w:rsidRPr="00047248" w:rsidRDefault="008A1281" w:rsidP="004320C0">
            <w:pPr>
              <w:spacing w:after="0" w:line="240" w:lineRule="auto"/>
            </w:pPr>
            <w:r w:rsidRPr="00047248">
              <w:t>-0.34</w:t>
            </w:r>
          </w:p>
        </w:tc>
      </w:tr>
      <w:tr w:rsidR="008A1281" w:rsidRPr="00127E34" w14:paraId="747005AD" w14:textId="77777777" w:rsidTr="006A68F1">
        <w:trPr>
          <w:trHeight w:val="300"/>
        </w:trPr>
        <w:tc>
          <w:tcPr>
            <w:tcW w:w="1751" w:type="dxa"/>
            <w:tcBorders>
              <w:top w:val="nil"/>
              <w:left w:val="nil"/>
              <w:bottom w:val="nil"/>
              <w:right w:val="nil"/>
            </w:tcBorders>
            <w:shd w:val="clear" w:color="auto" w:fill="auto"/>
            <w:noWrap/>
            <w:vAlign w:val="bottom"/>
            <w:hideMark/>
          </w:tcPr>
          <w:p w14:paraId="68FFD1E7" w14:textId="77777777" w:rsidR="008A1281" w:rsidRPr="00EA28CB" w:rsidRDefault="008A1281" w:rsidP="004320C0">
            <w:pPr>
              <w:spacing w:after="0" w:line="240" w:lineRule="auto"/>
            </w:pPr>
            <w:r w:rsidRPr="00EA28CB">
              <w:t>Asthma</w:t>
            </w:r>
          </w:p>
        </w:tc>
        <w:tc>
          <w:tcPr>
            <w:tcW w:w="1226" w:type="dxa"/>
            <w:tcBorders>
              <w:top w:val="nil"/>
              <w:left w:val="nil"/>
              <w:bottom w:val="nil"/>
              <w:right w:val="nil"/>
            </w:tcBorders>
            <w:shd w:val="clear" w:color="auto" w:fill="auto"/>
            <w:noWrap/>
            <w:vAlign w:val="bottom"/>
            <w:hideMark/>
          </w:tcPr>
          <w:p w14:paraId="392467E8" w14:textId="77777777" w:rsidR="008A1281" w:rsidRPr="00EA28CB" w:rsidRDefault="008A1281" w:rsidP="004320C0">
            <w:pPr>
              <w:spacing w:after="0" w:line="240" w:lineRule="auto"/>
            </w:pPr>
            <w:r w:rsidRPr="00EA28CB">
              <w:t>15.87</w:t>
            </w:r>
          </w:p>
        </w:tc>
        <w:tc>
          <w:tcPr>
            <w:tcW w:w="1276" w:type="dxa"/>
            <w:tcBorders>
              <w:top w:val="nil"/>
              <w:left w:val="nil"/>
              <w:bottom w:val="nil"/>
              <w:right w:val="nil"/>
            </w:tcBorders>
            <w:shd w:val="clear" w:color="auto" w:fill="auto"/>
            <w:noWrap/>
            <w:vAlign w:val="bottom"/>
            <w:hideMark/>
          </w:tcPr>
          <w:p w14:paraId="44B2F2B7" w14:textId="77777777" w:rsidR="008A1281" w:rsidRPr="00EA28CB" w:rsidRDefault="008A1281" w:rsidP="004320C0">
            <w:pPr>
              <w:spacing w:after="0" w:line="240" w:lineRule="auto"/>
            </w:pPr>
            <w:r w:rsidRPr="00EA28CB">
              <w:t>10.66</w:t>
            </w:r>
          </w:p>
        </w:tc>
        <w:tc>
          <w:tcPr>
            <w:tcW w:w="1376" w:type="dxa"/>
            <w:tcBorders>
              <w:top w:val="nil"/>
              <w:left w:val="nil"/>
              <w:bottom w:val="nil"/>
              <w:right w:val="nil"/>
            </w:tcBorders>
            <w:shd w:val="clear" w:color="auto" w:fill="auto"/>
            <w:noWrap/>
            <w:vAlign w:val="bottom"/>
            <w:hideMark/>
          </w:tcPr>
          <w:p w14:paraId="2016429B" w14:textId="77777777" w:rsidR="008A1281" w:rsidRPr="00EA28CB" w:rsidRDefault="008A1281" w:rsidP="004320C0">
            <w:pPr>
              <w:spacing w:after="0" w:line="240" w:lineRule="auto"/>
            </w:pPr>
            <w:r w:rsidRPr="00EA28CB">
              <w:t>8.37</w:t>
            </w:r>
          </w:p>
        </w:tc>
        <w:tc>
          <w:tcPr>
            <w:tcW w:w="1557" w:type="dxa"/>
            <w:tcBorders>
              <w:top w:val="nil"/>
              <w:left w:val="nil"/>
              <w:bottom w:val="nil"/>
              <w:right w:val="nil"/>
            </w:tcBorders>
            <w:shd w:val="clear" w:color="auto" w:fill="auto"/>
            <w:noWrap/>
            <w:vAlign w:val="bottom"/>
            <w:hideMark/>
          </w:tcPr>
          <w:p w14:paraId="1105EBE9" w14:textId="77777777" w:rsidR="008A1281" w:rsidRPr="00EA28CB" w:rsidRDefault="008A1281" w:rsidP="004320C0">
            <w:pPr>
              <w:spacing w:after="0" w:line="240" w:lineRule="auto"/>
            </w:pPr>
            <w:r w:rsidRPr="00EA28CB">
              <w:t>3.42</w:t>
            </w:r>
          </w:p>
        </w:tc>
        <w:tc>
          <w:tcPr>
            <w:tcW w:w="1219" w:type="dxa"/>
            <w:tcBorders>
              <w:top w:val="nil"/>
              <w:left w:val="nil"/>
              <w:bottom w:val="nil"/>
              <w:right w:val="nil"/>
            </w:tcBorders>
            <w:shd w:val="clear" w:color="auto" w:fill="auto"/>
            <w:noWrap/>
            <w:vAlign w:val="bottom"/>
            <w:hideMark/>
          </w:tcPr>
          <w:p w14:paraId="2B37F494" w14:textId="62F34DDD" w:rsidR="008A1281" w:rsidRPr="00EA28CB" w:rsidRDefault="008A1281" w:rsidP="004320C0">
            <w:pPr>
              <w:spacing w:after="0" w:line="240" w:lineRule="auto"/>
            </w:pPr>
            <w:r w:rsidRPr="00EA28CB">
              <w:t>-7.5</w:t>
            </w:r>
            <w:r w:rsidR="004D5992">
              <w:t>0</w:t>
            </w:r>
          </w:p>
        </w:tc>
        <w:tc>
          <w:tcPr>
            <w:tcW w:w="1219" w:type="dxa"/>
            <w:tcBorders>
              <w:top w:val="nil"/>
              <w:left w:val="nil"/>
              <w:bottom w:val="nil"/>
              <w:right w:val="nil"/>
            </w:tcBorders>
            <w:shd w:val="clear" w:color="auto" w:fill="auto"/>
            <w:noWrap/>
            <w:vAlign w:val="bottom"/>
            <w:hideMark/>
          </w:tcPr>
          <w:p w14:paraId="1CAEAEAE" w14:textId="77777777" w:rsidR="008A1281" w:rsidRPr="00EA28CB" w:rsidRDefault="008A1281" w:rsidP="004320C0">
            <w:pPr>
              <w:spacing w:after="0" w:line="240" w:lineRule="auto"/>
            </w:pPr>
            <w:r w:rsidRPr="00EA28CB">
              <w:t>-7.24</w:t>
            </w:r>
          </w:p>
        </w:tc>
      </w:tr>
      <w:tr w:rsidR="008A1281" w:rsidRPr="00127E34" w14:paraId="30926729" w14:textId="77777777" w:rsidTr="006A68F1">
        <w:trPr>
          <w:trHeight w:val="300"/>
        </w:trPr>
        <w:tc>
          <w:tcPr>
            <w:tcW w:w="1751" w:type="dxa"/>
            <w:tcBorders>
              <w:top w:val="nil"/>
              <w:left w:val="nil"/>
              <w:bottom w:val="nil"/>
              <w:right w:val="nil"/>
            </w:tcBorders>
            <w:shd w:val="clear" w:color="auto" w:fill="auto"/>
            <w:noWrap/>
            <w:vAlign w:val="bottom"/>
            <w:hideMark/>
          </w:tcPr>
          <w:p w14:paraId="0896AE18" w14:textId="77777777" w:rsidR="008A1281" w:rsidRPr="00EA28CB" w:rsidRDefault="008A1281" w:rsidP="004320C0">
            <w:pPr>
              <w:spacing w:after="0" w:line="240" w:lineRule="auto"/>
            </w:pPr>
            <w:r w:rsidRPr="00EA28CB">
              <w:t>Back pain with specific characteristics</w:t>
            </w:r>
          </w:p>
        </w:tc>
        <w:tc>
          <w:tcPr>
            <w:tcW w:w="1226" w:type="dxa"/>
            <w:tcBorders>
              <w:top w:val="nil"/>
              <w:left w:val="nil"/>
              <w:bottom w:val="nil"/>
              <w:right w:val="nil"/>
            </w:tcBorders>
            <w:shd w:val="clear" w:color="auto" w:fill="auto"/>
            <w:noWrap/>
            <w:vAlign w:val="bottom"/>
            <w:hideMark/>
          </w:tcPr>
          <w:p w14:paraId="17A18618" w14:textId="77777777" w:rsidR="008A1281" w:rsidRPr="00EA28CB" w:rsidRDefault="008A1281" w:rsidP="004320C0">
            <w:pPr>
              <w:spacing w:after="0" w:line="240" w:lineRule="auto"/>
            </w:pPr>
            <w:r w:rsidRPr="00EA28CB">
              <w:t>1.38</w:t>
            </w:r>
          </w:p>
        </w:tc>
        <w:tc>
          <w:tcPr>
            <w:tcW w:w="1276" w:type="dxa"/>
            <w:tcBorders>
              <w:top w:val="nil"/>
              <w:left w:val="nil"/>
              <w:bottom w:val="nil"/>
              <w:right w:val="nil"/>
            </w:tcBorders>
            <w:shd w:val="clear" w:color="auto" w:fill="auto"/>
            <w:noWrap/>
            <w:vAlign w:val="bottom"/>
            <w:hideMark/>
          </w:tcPr>
          <w:p w14:paraId="2AA2031D" w14:textId="77777777" w:rsidR="008A1281" w:rsidRPr="00EA28CB" w:rsidRDefault="008A1281" w:rsidP="004320C0">
            <w:pPr>
              <w:spacing w:after="0" w:line="240" w:lineRule="auto"/>
            </w:pPr>
            <w:r w:rsidRPr="00EA28CB">
              <w:t>0.65</w:t>
            </w:r>
          </w:p>
        </w:tc>
        <w:tc>
          <w:tcPr>
            <w:tcW w:w="1376" w:type="dxa"/>
            <w:tcBorders>
              <w:top w:val="nil"/>
              <w:left w:val="nil"/>
              <w:bottom w:val="nil"/>
              <w:right w:val="nil"/>
            </w:tcBorders>
            <w:shd w:val="clear" w:color="auto" w:fill="auto"/>
            <w:noWrap/>
            <w:vAlign w:val="bottom"/>
            <w:hideMark/>
          </w:tcPr>
          <w:p w14:paraId="245E3273" w14:textId="77777777" w:rsidR="008A1281" w:rsidRPr="00EA28CB" w:rsidRDefault="008A1281" w:rsidP="004320C0">
            <w:pPr>
              <w:spacing w:after="0" w:line="240" w:lineRule="auto"/>
            </w:pPr>
            <w:r w:rsidRPr="00EA28CB">
              <w:t>1.07</w:t>
            </w:r>
          </w:p>
        </w:tc>
        <w:tc>
          <w:tcPr>
            <w:tcW w:w="1557" w:type="dxa"/>
            <w:tcBorders>
              <w:top w:val="nil"/>
              <w:left w:val="nil"/>
              <w:bottom w:val="nil"/>
              <w:right w:val="nil"/>
            </w:tcBorders>
            <w:shd w:val="clear" w:color="auto" w:fill="auto"/>
            <w:noWrap/>
            <w:vAlign w:val="bottom"/>
            <w:hideMark/>
          </w:tcPr>
          <w:p w14:paraId="4CC2211F" w14:textId="0DE0AE53" w:rsidR="008A1281" w:rsidRPr="00EA28CB" w:rsidRDefault="008A1281" w:rsidP="004320C0">
            <w:pPr>
              <w:spacing w:after="0" w:line="240" w:lineRule="auto"/>
            </w:pPr>
            <w:r w:rsidRPr="00EA28CB">
              <w:t>0.3</w:t>
            </w:r>
            <w:r w:rsidR="004D5992">
              <w:t>0</w:t>
            </w:r>
          </w:p>
        </w:tc>
        <w:tc>
          <w:tcPr>
            <w:tcW w:w="1219" w:type="dxa"/>
            <w:tcBorders>
              <w:top w:val="nil"/>
              <w:left w:val="nil"/>
              <w:bottom w:val="nil"/>
              <w:right w:val="nil"/>
            </w:tcBorders>
            <w:shd w:val="clear" w:color="auto" w:fill="auto"/>
            <w:noWrap/>
            <w:vAlign w:val="bottom"/>
            <w:hideMark/>
          </w:tcPr>
          <w:p w14:paraId="4E7D76B5" w14:textId="77777777" w:rsidR="008A1281" w:rsidRPr="00EA28CB" w:rsidRDefault="008A1281" w:rsidP="004320C0">
            <w:pPr>
              <w:spacing w:after="0" w:line="240" w:lineRule="auto"/>
            </w:pPr>
            <w:r w:rsidRPr="00EA28CB">
              <w:t>-0.31</w:t>
            </w:r>
          </w:p>
        </w:tc>
        <w:tc>
          <w:tcPr>
            <w:tcW w:w="1219" w:type="dxa"/>
            <w:tcBorders>
              <w:top w:val="nil"/>
              <w:left w:val="nil"/>
              <w:bottom w:val="nil"/>
              <w:right w:val="nil"/>
            </w:tcBorders>
            <w:shd w:val="clear" w:color="auto" w:fill="auto"/>
            <w:noWrap/>
            <w:vAlign w:val="bottom"/>
            <w:hideMark/>
          </w:tcPr>
          <w:p w14:paraId="3E3FCC6E" w14:textId="3910D23C" w:rsidR="008A1281" w:rsidRPr="00EA28CB" w:rsidRDefault="008A1281" w:rsidP="004320C0">
            <w:pPr>
              <w:spacing w:after="0" w:line="240" w:lineRule="auto"/>
            </w:pPr>
            <w:r w:rsidRPr="00EA28CB">
              <w:t>-0.3</w:t>
            </w:r>
            <w:r w:rsidR="00B25D8B">
              <w:t>5</w:t>
            </w:r>
          </w:p>
        </w:tc>
      </w:tr>
      <w:tr w:rsidR="008A1281" w:rsidRPr="00127E34" w14:paraId="324D19F7" w14:textId="77777777" w:rsidTr="006A68F1">
        <w:trPr>
          <w:trHeight w:val="300"/>
        </w:trPr>
        <w:tc>
          <w:tcPr>
            <w:tcW w:w="1751" w:type="dxa"/>
            <w:tcBorders>
              <w:top w:val="nil"/>
              <w:left w:val="nil"/>
              <w:bottom w:val="nil"/>
              <w:right w:val="nil"/>
            </w:tcBorders>
            <w:shd w:val="clear" w:color="auto" w:fill="auto"/>
            <w:noWrap/>
            <w:vAlign w:val="bottom"/>
            <w:hideMark/>
          </w:tcPr>
          <w:p w14:paraId="7B8C6981" w14:textId="77777777" w:rsidR="008A1281" w:rsidRPr="00EA28CB" w:rsidRDefault="008A1281" w:rsidP="004320C0">
            <w:pPr>
              <w:spacing w:after="0" w:line="240" w:lineRule="auto"/>
            </w:pPr>
            <w:r w:rsidRPr="00EA28CB">
              <w:t>Back pain without specific characteristics</w:t>
            </w:r>
          </w:p>
        </w:tc>
        <w:tc>
          <w:tcPr>
            <w:tcW w:w="1226" w:type="dxa"/>
            <w:tcBorders>
              <w:top w:val="nil"/>
              <w:left w:val="nil"/>
              <w:bottom w:val="nil"/>
              <w:right w:val="nil"/>
            </w:tcBorders>
            <w:shd w:val="clear" w:color="auto" w:fill="auto"/>
            <w:noWrap/>
            <w:vAlign w:val="bottom"/>
            <w:hideMark/>
          </w:tcPr>
          <w:p w14:paraId="54B8835B" w14:textId="328D10BC" w:rsidR="008A1281" w:rsidRPr="00EA28CB" w:rsidRDefault="008A1281" w:rsidP="004320C0">
            <w:pPr>
              <w:spacing w:after="0" w:line="240" w:lineRule="auto"/>
            </w:pPr>
            <w:r w:rsidRPr="00EA28CB">
              <w:t>11</w:t>
            </w:r>
            <w:r w:rsidR="00B25D8B">
              <w:t>.00</w:t>
            </w:r>
          </w:p>
        </w:tc>
        <w:tc>
          <w:tcPr>
            <w:tcW w:w="1276" w:type="dxa"/>
            <w:tcBorders>
              <w:top w:val="nil"/>
              <w:left w:val="nil"/>
              <w:bottom w:val="nil"/>
              <w:right w:val="nil"/>
            </w:tcBorders>
            <w:shd w:val="clear" w:color="auto" w:fill="auto"/>
            <w:noWrap/>
            <w:vAlign w:val="bottom"/>
            <w:hideMark/>
          </w:tcPr>
          <w:p w14:paraId="45941FE3" w14:textId="77777777" w:rsidR="008A1281" w:rsidRPr="00EA28CB" w:rsidRDefault="008A1281" w:rsidP="004320C0">
            <w:pPr>
              <w:spacing w:after="0" w:line="240" w:lineRule="auto"/>
            </w:pPr>
            <w:r w:rsidRPr="00EA28CB">
              <w:t>5.75</w:t>
            </w:r>
          </w:p>
        </w:tc>
        <w:tc>
          <w:tcPr>
            <w:tcW w:w="1376" w:type="dxa"/>
            <w:tcBorders>
              <w:top w:val="nil"/>
              <w:left w:val="nil"/>
              <w:bottom w:val="nil"/>
              <w:right w:val="nil"/>
            </w:tcBorders>
            <w:shd w:val="clear" w:color="auto" w:fill="auto"/>
            <w:noWrap/>
            <w:vAlign w:val="bottom"/>
            <w:hideMark/>
          </w:tcPr>
          <w:p w14:paraId="5E981B88" w14:textId="77777777" w:rsidR="008A1281" w:rsidRPr="00EA28CB" w:rsidRDefault="008A1281" w:rsidP="004320C0">
            <w:pPr>
              <w:spacing w:after="0" w:line="240" w:lineRule="auto"/>
            </w:pPr>
            <w:r w:rsidRPr="00EA28CB">
              <w:t>8.37</w:t>
            </w:r>
          </w:p>
        </w:tc>
        <w:tc>
          <w:tcPr>
            <w:tcW w:w="1557" w:type="dxa"/>
            <w:tcBorders>
              <w:top w:val="nil"/>
              <w:left w:val="nil"/>
              <w:bottom w:val="nil"/>
              <w:right w:val="nil"/>
            </w:tcBorders>
            <w:shd w:val="clear" w:color="auto" w:fill="auto"/>
            <w:noWrap/>
            <w:vAlign w:val="bottom"/>
            <w:hideMark/>
          </w:tcPr>
          <w:p w14:paraId="0C6528F8" w14:textId="77777777" w:rsidR="008A1281" w:rsidRPr="00EA28CB" w:rsidRDefault="008A1281" w:rsidP="004320C0">
            <w:pPr>
              <w:spacing w:after="0" w:line="240" w:lineRule="auto"/>
            </w:pPr>
            <w:r w:rsidRPr="00EA28CB">
              <w:t>2.86</w:t>
            </w:r>
          </w:p>
        </w:tc>
        <w:tc>
          <w:tcPr>
            <w:tcW w:w="1219" w:type="dxa"/>
            <w:tcBorders>
              <w:top w:val="nil"/>
              <w:left w:val="nil"/>
              <w:bottom w:val="nil"/>
              <w:right w:val="nil"/>
            </w:tcBorders>
            <w:shd w:val="clear" w:color="auto" w:fill="auto"/>
            <w:noWrap/>
            <w:vAlign w:val="bottom"/>
            <w:hideMark/>
          </w:tcPr>
          <w:p w14:paraId="1FE16F8A" w14:textId="77777777" w:rsidR="008A1281" w:rsidRPr="00EA28CB" w:rsidRDefault="008A1281" w:rsidP="004320C0">
            <w:pPr>
              <w:spacing w:after="0" w:line="240" w:lineRule="auto"/>
            </w:pPr>
            <w:r w:rsidRPr="00EA28CB">
              <w:t>-2.64</w:t>
            </w:r>
          </w:p>
        </w:tc>
        <w:tc>
          <w:tcPr>
            <w:tcW w:w="1219" w:type="dxa"/>
            <w:tcBorders>
              <w:top w:val="nil"/>
              <w:left w:val="nil"/>
              <w:bottom w:val="nil"/>
              <w:right w:val="nil"/>
            </w:tcBorders>
            <w:shd w:val="clear" w:color="auto" w:fill="auto"/>
            <w:noWrap/>
            <w:vAlign w:val="bottom"/>
            <w:hideMark/>
          </w:tcPr>
          <w:p w14:paraId="2680B283" w14:textId="77777777" w:rsidR="008A1281" w:rsidRPr="00EA28CB" w:rsidRDefault="008A1281" w:rsidP="004320C0">
            <w:pPr>
              <w:spacing w:after="0" w:line="240" w:lineRule="auto"/>
            </w:pPr>
            <w:r w:rsidRPr="00EA28CB">
              <w:t>-2.89</w:t>
            </w:r>
          </w:p>
        </w:tc>
      </w:tr>
      <w:tr w:rsidR="008A1281" w:rsidRPr="00127E34" w14:paraId="510A72B0" w14:textId="77777777" w:rsidTr="006A68F1">
        <w:trPr>
          <w:trHeight w:val="300"/>
        </w:trPr>
        <w:tc>
          <w:tcPr>
            <w:tcW w:w="1751" w:type="dxa"/>
            <w:tcBorders>
              <w:top w:val="nil"/>
              <w:left w:val="nil"/>
              <w:bottom w:val="nil"/>
              <w:right w:val="nil"/>
            </w:tcBorders>
            <w:shd w:val="clear" w:color="auto" w:fill="auto"/>
            <w:noWrap/>
            <w:vAlign w:val="bottom"/>
            <w:hideMark/>
          </w:tcPr>
          <w:p w14:paraId="52E9F26B" w14:textId="77777777" w:rsidR="008A1281" w:rsidRPr="00EA28CB" w:rsidRDefault="008A1281" w:rsidP="004320C0">
            <w:pPr>
              <w:spacing w:after="0" w:line="240" w:lineRule="auto"/>
            </w:pPr>
            <w:r w:rsidRPr="00EA28CB">
              <w:t>Bed wetting</w:t>
            </w:r>
          </w:p>
        </w:tc>
        <w:tc>
          <w:tcPr>
            <w:tcW w:w="1226" w:type="dxa"/>
            <w:tcBorders>
              <w:top w:val="nil"/>
              <w:left w:val="nil"/>
              <w:bottom w:val="nil"/>
              <w:right w:val="nil"/>
            </w:tcBorders>
            <w:shd w:val="clear" w:color="auto" w:fill="auto"/>
            <w:noWrap/>
            <w:vAlign w:val="bottom"/>
            <w:hideMark/>
          </w:tcPr>
          <w:p w14:paraId="7405DCF7" w14:textId="77777777" w:rsidR="008A1281" w:rsidRPr="00EA28CB" w:rsidRDefault="008A1281" w:rsidP="004320C0">
            <w:pPr>
              <w:spacing w:after="0" w:line="240" w:lineRule="auto"/>
            </w:pPr>
            <w:r w:rsidRPr="00EA28CB">
              <w:t>0.12</w:t>
            </w:r>
          </w:p>
        </w:tc>
        <w:tc>
          <w:tcPr>
            <w:tcW w:w="1276" w:type="dxa"/>
            <w:tcBorders>
              <w:top w:val="nil"/>
              <w:left w:val="nil"/>
              <w:bottom w:val="nil"/>
              <w:right w:val="nil"/>
            </w:tcBorders>
            <w:shd w:val="clear" w:color="auto" w:fill="auto"/>
            <w:noWrap/>
            <w:vAlign w:val="bottom"/>
            <w:hideMark/>
          </w:tcPr>
          <w:p w14:paraId="1FFAF7BA" w14:textId="77777777" w:rsidR="008A1281" w:rsidRPr="00EA28CB" w:rsidRDefault="008A1281" w:rsidP="004320C0">
            <w:pPr>
              <w:spacing w:after="0" w:line="240" w:lineRule="auto"/>
            </w:pPr>
            <w:r w:rsidRPr="00EA28CB">
              <w:t>0.07</w:t>
            </w:r>
          </w:p>
        </w:tc>
        <w:tc>
          <w:tcPr>
            <w:tcW w:w="1376" w:type="dxa"/>
            <w:tcBorders>
              <w:top w:val="nil"/>
              <w:left w:val="nil"/>
              <w:bottom w:val="nil"/>
              <w:right w:val="nil"/>
            </w:tcBorders>
            <w:shd w:val="clear" w:color="auto" w:fill="auto"/>
            <w:noWrap/>
            <w:vAlign w:val="bottom"/>
            <w:hideMark/>
          </w:tcPr>
          <w:p w14:paraId="79FE681E" w14:textId="77777777" w:rsidR="008A1281" w:rsidRPr="00EA28CB" w:rsidRDefault="008A1281" w:rsidP="004320C0">
            <w:pPr>
              <w:spacing w:after="0" w:line="240" w:lineRule="auto"/>
            </w:pPr>
            <w:r w:rsidRPr="00EA28CB">
              <w:t>0.09</w:t>
            </w:r>
          </w:p>
        </w:tc>
        <w:tc>
          <w:tcPr>
            <w:tcW w:w="1557" w:type="dxa"/>
            <w:tcBorders>
              <w:top w:val="nil"/>
              <w:left w:val="nil"/>
              <w:bottom w:val="nil"/>
              <w:right w:val="nil"/>
            </w:tcBorders>
            <w:shd w:val="clear" w:color="auto" w:fill="auto"/>
            <w:noWrap/>
            <w:vAlign w:val="bottom"/>
            <w:hideMark/>
          </w:tcPr>
          <w:p w14:paraId="2FED4707" w14:textId="77777777" w:rsidR="008A1281" w:rsidRPr="00EA28CB" w:rsidRDefault="008A1281" w:rsidP="004320C0">
            <w:pPr>
              <w:spacing w:after="0" w:line="240" w:lineRule="auto"/>
            </w:pPr>
            <w:r w:rsidRPr="00EA28CB">
              <w:t>0.08</w:t>
            </w:r>
          </w:p>
        </w:tc>
        <w:tc>
          <w:tcPr>
            <w:tcW w:w="1219" w:type="dxa"/>
            <w:tcBorders>
              <w:top w:val="nil"/>
              <w:left w:val="nil"/>
              <w:bottom w:val="nil"/>
              <w:right w:val="nil"/>
            </w:tcBorders>
            <w:shd w:val="clear" w:color="auto" w:fill="auto"/>
            <w:noWrap/>
            <w:vAlign w:val="bottom"/>
            <w:hideMark/>
          </w:tcPr>
          <w:p w14:paraId="3CCAA266" w14:textId="77777777" w:rsidR="008A1281" w:rsidRPr="00EA28CB" w:rsidRDefault="008A1281" w:rsidP="004320C0">
            <w:pPr>
              <w:spacing w:after="0" w:line="240" w:lineRule="auto"/>
            </w:pPr>
            <w:r w:rsidRPr="00EA28CB">
              <w:t>-0.03</w:t>
            </w:r>
          </w:p>
        </w:tc>
        <w:tc>
          <w:tcPr>
            <w:tcW w:w="1219" w:type="dxa"/>
            <w:tcBorders>
              <w:top w:val="nil"/>
              <w:left w:val="nil"/>
              <w:bottom w:val="nil"/>
              <w:right w:val="nil"/>
            </w:tcBorders>
            <w:shd w:val="clear" w:color="auto" w:fill="auto"/>
            <w:noWrap/>
            <w:vAlign w:val="bottom"/>
            <w:hideMark/>
          </w:tcPr>
          <w:p w14:paraId="44C4E823" w14:textId="77777777" w:rsidR="008A1281" w:rsidRPr="00EA28CB" w:rsidRDefault="008A1281" w:rsidP="004320C0">
            <w:pPr>
              <w:spacing w:after="0" w:line="240" w:lineRule="auto"/>
            </w:pPr>
            <w:r w:rsidRPr="00EA28CB">
              <w:t>0.01</w:t>
            </w:r>
          </w:p>
        </w:tc>
      </w:tr>
      <w:tr w:rsidR="008A1281" w:rsidRPr="00127E34" w14:paraId="723888CD" w14:textId="77777777" w:rsidTr="006A68F1">
        <w:trPr>
          <w:trHeight w:val="300"/>
        </w:trPr>
        <w:tc>
          <w:tcPr>
            <w:tcW w:w="1751" w:type="dxa"/>
            <w:tcBorders>
              <w:top w:val="nil"/>
              <w:left w:val="nil"/>
              <w:bottom w:val="nil"/>
              <w:right w:val="nil"/>
            </w:tcBorders>
            <w:shd w:val="clear" w:color="auto" w:fill="auto"/>
            <w:noWrap/>
            <w:vAlign w:val="bottom"/>
            <w:hideMark/>
          </w:tcPr>
          <w:p w14:paraId="18DE99F7" w14:textId="77777777" w:rsidR="008A1281" w:rsidRPr="00EA28CB" w:rsidRDefault="008A1281" w:rsidP="004320C0">
            <w:pPr>
              <w:spacing w:after="0" w:line="240" w:lineRule="auto"/>
            </w:pPr>
            <w:r w:rsidRPr="00EA28CB">
              <w:t>Bereavement</w:t>
            </w:r>
          </w:p>
        </w:tc>
        <w:tc>
          <w:tcPr>
            <w:tcW w:w="1226" w:type="dxa"/>
            <w:tcBorders>
              <w:top w:val="nil"/>
              <w:left w:val="nil"/>
              <w:bottom w:val="nil"/>
              <w:right w:val="nil"/>
            </w:tcBorders>
            <w:shd w:val="clear" w:color="auto" w:fill="auto"/>
            <w:noWrap/>
            <w:vAlign w:val="bottom"/>
            <w:hideMark/>
          </w:tcPr>
          <w:p w14:paraId="2EC54BE8" w14:textId="77777777" w:rsidR="008A1281" w:rsidRPr="00EA28CB" w:rsidRDefault="008A1281" w:rsidP="004320C0">
            <w:pPr>
              <w:spacing w:after="0" w:line="240" w:lineRule="auto"/>
            </w:pPr>
            <w:r w:rsidRPr="00EA28CB">
              <w:t>1.19</w:t>
            </w:r>
          </w:p>
        </w:tc>
        <w:tc>
          <w:tcPr>
            <w:tcW w:w="1276" w:type="dxa"/>
            <w:tcBorders>
              <w:top w:val="nil"/>
              <w:left w:val="nil"/>
              <w:bottom w:val="nil"/>
              <w:right w:val="nil"/>
            </w:tcBorders>
            <w:shd w:val="clear" w:color="auto" w:fill="auto"/>
            <w:noWrap/>
            <w:vAlign w:val="bottom"/>
            <w:hideMark/>
          </w:tcPr>
          <w:p w14:paraId="61FDDF71" w14:textId="3B2EE04D" w:rsidR="008A1281" w:rsidRPr="00EA28CB" w:rsidRDefault="008A1281" w:rsidP="004320C0">
            <w:pPr>
              <w:spacing w:after="0" w:line="240" w:lineRule="auto"/>
            </w:pPr>
            <w:r w:rsidRPr="00EA28CB">
              <w:t>0.3</w:t>
            </w:r>
            <w:r w:rsidR="004D5992">
              <w:t>0</w:t>
            </w:r>
          </w:p>
        </w:tc>
        <w:tc>
          <w:tcPr>
            <w:tcW w:w="1376" w:type="dxa"/>
            <w:tcBorders>
              <w:top w:val="nil"/>
              <w:left w:val="nil"/>
              <w:bottom w:val="nil"/>
              <w:right w:val="nil"/>
            </w:tcBorders>
            <w:shd w:val="clear" w:color="auto" w:fill="auto"/>
            <w:noWrap/>
            <w:vAlign w:val="bottom"/>
            <w:hideMark/>
          </w:tcPr>
          <w:p w14:paraId="6371DBEC" w14:textId="77777777" w:rsidR="008A1281" w:rsidRPr="00EA28CB" w:rsidRDefault="008A1281" w:rsidP="004320C0">
            <w:pPr>
              <w:spacing w:after="0" w:line="240" w:lineRule="auto"/>
            </w:pPr>
            <w:r w:rsidRPr="00EA28CB">
              <w:t>0.91</w:t>
            </w:r>
          </w:p>
        </w:tc>
        <w:tc>
          <w:tcPr>
            <w:tcW w:w="1557" w:type="dxa"/>
            <w:tcBorders>
              <w:top w:val="nil"/>
              <w:left w:val="nil"/>
              <w:bottom w:val="nil"/>
              <w:right w:val="nil"/>
            </w:tcBorders>
            <w:shd w:val="clear" w:color="auto" w:fill="auto"/>
            <w:noWrap/>
            <w:vAlign w:val="bottom"/>
            <w:hideMark/>
          </w:tcPr>
          <w:p w14:paraId="220EDFD4" w14:textId="77777777" w:rsidR="008A1281" w:rsidRPr="00EA28CB" w:rsidRDefault="008A1281" w:rsidP="004320C0">
            <w:pPr>
              <w:spacing w:after="0" w:line="240" w:lineRule="auto"/>
            </w:pPr>
            <w:r w:rsidRPr="00EA28CB">
              <w:t>0.17</w:t>
            </w:r>
          </w:p>
        </w:tc>
        <w:tc>
          <w:tcPr>
            <w:tcW w:w="1219" w:type="dxa"/>
            <w:tcBorders>
              <w:top w:val="nil"/>
              <w:left w:val="nil"/>
              <w:bottom w:val="nil"/>
              <w:right w:val="nil"/>
            </w:tcBorders>
            <w:shd w:val="clear" w:color="auto" w:fill="auto"/>
            <w:noWrap/>
            <w:vAlign w:val="bottom"/>
            <w:hideMark/>
          </w:tcPr>
          <w:p w14:paraId="2FAD7B7E" w14:textId="77777777" w:rsidR="008A1281" w:rsidRPr="00EA28CB" w:rsidRDefault="008A1281" w:rsidP="004320C0">
            <w:pPr>
              <w:spacing w:after="0" w:line="240" w:lineRule="auto"/>
            </w:pPr>
            <w:r w:rsidRPr="00EA28CB">
              <w:t>-0.28</w:t>
            </w:r>
          </w:p>
        </w:tc>
        <w:tc>
          <w:tcPr>
            <w:tcW w:w="1219" w:type="dxa"/>
            <w:tcBorders>
              <w:top w:val="nil"/>
              <w:left w:val="nil"/>
              <w:bottom w:val="nil"/>
              <w:right w:val="nil"/>
            </w:tcBorders>
            <w:shd w:val="clear" w:color="auto" w:fill="auto"/>
            <w:noWrap/>
            <w:vAlign w:val="bottom"/>
            <w:hideMark/>
          </w:tcPr>
          <w:p w14:paraId="2D676272" w14:textId="77777777" w:rsidR="008A1281" w:rsidRPr="00EA28CB" w:rsidRDefault="008A1281" w:rsidP="004320C0">
            <w:pPr>
              <w:spacing w:after="0" w:line="240" w:lineRule="auto"/>
            </w:pPr>
            <w:r w:rsidRPr="00EA28CB">
              <w:t>-0.14</w:t>
            </w:r>
          </w:p>
        </w:tc>
      </w:tr>
      <w:tr w:rsidR="008A1281" w:rsidRPr="00127E34" w14:paraId="4439CE7F" w14:textId="77777777" w:rsidTr="006A68F1">
        <w:trPr>
          <w:trHeight w:val="300"/>
        </w:trPr>
        <w:tc>
          <w:tcPr>
            <w:tcW w:w="1751" w:type="dxa"/>
            <w:tcBorders>
              <w:top w:val="nil"/>
              <w:left w:val="nil"/>
              <w:bottom w:val="nil"/>
              <w:right w:val="nil"/>
            </w:tcBorders>
            <w:shd w:val="clear" w:color="auto" w:fill="auto"/>
            <w:noWrap/>
            <w:vAlign w:val="bottom"/>
            <w:hideMark/>
          </w:tcPr>
          <w:p w14:paraId="7DE5150F" w14:textId="77777777" w:rsidR="008A1281" w:rsidRPr="00EA28CB" w:rsidRDefault="008A1281" w:rsidP="004320C0">
            <w:pPr>
              <w:spacing w:after="0" w:line="240" w:lineRule="auto"/>
            </w:pPr>
            <w:r w:rsidRPr="00EA28CB">
              <w:t>Developmental delay</w:t>
            </w:r>
          </w:p>
        </w:tc>
        <w:tc>
          <w:tcPr>
            <w:tcW w:w="1226" w:type="dxa"/>
            <w:tcBorders>
              <w:top w:val="nil"/>
              <w:left w:val="nil"/>
              <w:bottom w:val="nil"/>
              <w:right w:val="nil"/>
            </w:tcBorders>
            <w:shd w:val="clear" w:color="auto" w:fill="auto"/>
            <w:noWrap/>
            <w:vAlign w:val="bottom"/>
            <w:hideMark/>
          </w:tcPr>
          <w:p w14:paraId="5865D290" w14:textId="77777777" w:rsidR="008A1281" w:rsidRPr="00EA28CB" w:rsidRDefault="008A1281" w:rsidP="004320C0">
            <w:pPr>
              <w:spacing w:after="0" w:line="240" w:lineRule="auto"/>
            </w:pPr>
            <w:r w:rsidRPr="00EA28CB">
              <w:t>2.29</w:t>
            </w:r>
          </w:p>
        </w:tc>
        <w:tc>
          <w:tcPr>
            <w:tcW w:w="1276" w:type="dxa"/>
            <w:tcBorders>
              <w:top w:val="nil"/>
              <w:left w:val="nil"/>
              <w:bottom w:val="nil"/>
              <w:right w:val="nil"/>
            </w:tcBorders>
            <w:shd w:val="clear" w:color="auto" w:fill="auto"/>
            <w:noWrap/>
            <w:vAlign w:val="bottom"/>
            <w:hideMark/>
          </w:tcPr>
          <w:p w14:paraId="554BD0BA" w14:textId="77777777" w:rsidR="008A1281" w:rsidRPr="00EA28CB" w:rsidRDefault="008A1281" w:rsidP="004320C0">
            <w:pPr>
              <w:spacing w:after="0" w:line="240" w:lineRule="auto"/>
            </w:pPr>
            <w:r w:rsidRPr="00EA28CB">
              <w:t>1.92</w:t>
            </w:r>
          </w:p>
        </w:tc>
        <w:tc>
          <w:tcPr>
            <w:tcW w:w="1376" w:type="dxa"/>
            <w:tcBorders>
              <w:top w:val="nil"/>
              <w:left w:val="nil"/>
              <w:bottom w:val="nil"/>
              <w:right w:val="nil"/>
            </w:tcBorders>
            <w:shd w:val="clear" w:color="auto" w:fill="auto"/>
            <w:noWrap/>
            <w:vAlign w:val="bottom"/>
            <w:hideMark/>
          </w:tcPr>
          <w:p w14:paraId="5893576B" w14:textId="77777777" w:rsidR="008A1281" w:rsidRPr="00EA28CB" w:rsidRDefault="008A1281" w:rsidP="004320C0">
            <w:pPr>
              <w:spacing w:after="0" w:line="240" w:lineRule="auto"/>
            </w:pPr>
            <w:r w:rsidRPr="00EA28CB">
              <w:t>2.77</w:t>
            </w:r>
          </w:p>
        </w:tc>
        <w:tc>
          <w:tcPr>
            <w:tcW w:w="1557" w:type="dxa"/>
            <w:tcBorders>
              <w:top w:val="nil"/>
              <w:left w:val="nil"/>
              <w:bottom w:val="nil"/>
              <w:right w:val="nil"/>
            </w:tcBorders>
            <w:shd w:val="clear" w:color="auto" w:fill="auto"/>
            <w:noWrap/>
            <w:vAlign w:val="bottom"/>
            <w:hideMark/>
          </w:tcPr>
          <w:p w14:paraId="278D9AA2" w14:textId="77777777" w:rsidR="008A1281" w:rsidRPr="00EA28CB" w:rsidRDefault="008A1281" w:rsidP="004320C0">
            <w:pPr>
              <w:spacing w:after="0" w:line="240" w:lineRule="auto"/>
            </w:pPr>
            <w:r w:rsidRPr="00EA28CB">
              <w:t>2.24</w:t>
            </w:r>
          </w:p>
        </w:tc>
        <w:tc>
          <w:tcPr>
            <w:tcW w:w="1219" w:type="dxa"/>
            <w:tcBorders>
              <w:top w:val="nil"/>
              <w:left w:val="nil"/>
              <w:bottom w:val="nil"/>
              <w:right w:val="nil"/>
            </w:tcBorders>
            <w:shd w:val="clear" w:color="auto" w:fill="auto"/>
            <w:noWrap/>
            <w:vAlign w:val="bottom"/>
            <w:hideMark/>
          </w:tcPr>
          <w:p w14:paraId="7E720EDE" w14:textId="77777777" w:rsidR="008A1281" w:rsidRPr="00EA28CB" w:rsidRDefault="008A1281" w:rsidP="004320C0">
            <w:pPr>
              <w:spacing w:after="0" w:line="240" w:lineRule="auto"/>
            </w:pPr>
            <w:r w:rsidRPr="00EA28CB">
              <w:t>0.49</w:t>
            </w:r>
          </w:p>
        </w:tc>
        <w:tc>
          <w:tcPr>
            <w:tcW w:w="1219" w:type="dxa"/>
            <w:tcBorders>
              <w:top w:val="nil"/>
              <w:left w:val="nil"/>
              <w:bottom w:val="nil"/>
              <w:right w:val="nil"/>
            </w:tcBorders>
            <w:shd w:val="clear" w:color="auto" w:fill="auto"/>
            <w:noWrap/>
            <w:vAlign w:val="bottom"/>
            <w:hideMark/>
          </w:tcPr>
          <w:p w14:paraId="78B14891" w14:textId="77777777" w:rsidR="008A1281" w:rsidRPr="00EA28CB" w:rsidRDefault="008A1281" w:rsidP="004320C0">
            <w:pPr>
              <w:spacing w:after="0" w:line="240" w:lineRule="auto"/>
            </w:pPr>
            <w:r w:rsidRPr="00EA28CB">
              <w:t>0.32</w:t>
            </w:r>
          </w:p>
        </w:tc>
      </w:tr>
      <w:tr w:rsidR="008A1281" w:rsidRPr="00127E34" w14:paraId="3487BF8C" w14:textId="77777777" w:rsidTr="006A68F1">
        <w:trPr>
          <w:trHeight w:val="300"/>
        </w:trPr>
        <w:tc>
          <w:tcPr>
            <w:tcW w:w="1751" w:type="dxa"/>
            <w:tcBorders>
              <w:top w:val="nil"/>
              <w:left w:val="nil"/>
              <w:bottom w:val="nil"/>
              <w:right w:val="nil"/>
            </w:tcBorders>
            <w:shd w:val="clear" w:color="auto" w:fill="auto"/>
            <w:noWrap/>
            <w:vAlign w:val="bottom"/>
            <w:hideMark/>
          </w:tcPr>
          <w:p w14:paraId="78B3C6A9" w14:textId="77777777" w:rsidR="008A1281" w:rsidRPr="00EA28CB" w:rsidRDefault="008A1281" w:rsidP="004320C0">
            <w:pPr>
              <w:spacing w:after="0" w:line="240" w:lineRule="auto"/>
            </w:pPr>
            <w:r w:rsidRPr="00EA28CB">
              <w:t>Diabetes</w:t>
            </w:r>
          </w:p>
        </w:tc>
        <w:tc>
          <w:tcPr>
            <w:tcW w:w="1226" w:type="dxa"/>
            <w:tcBorders>
              <w:top w:val="nil"/>
              <w:left w:val="nil"/>
              <w:bottom w:val="nil"/>
              <w:right w:val="nil"/>
            </w:tcBorders>
            <w:shd w:val="clear" w:color="auto" w:fill="auto"/>
            <w:noWrap/>
            <w:vAlign w:val="bottom"/>
            <w:hideMark/>
          </w:tcPr>
          <w:p w14:paraId="23D92A25" w14:textId="77777777" w:rsidR="008A1281" w:rsidRPr="00EA28CB" w:rsidRDefault="008A1281" w:rsidP="004320C0">
            <w:pPr>
              <w:spacing w:after="0" w:line="240" w:lineRule="auto"/>
            </w:pPr>
            <w:r w:rsidRPr="00EA28CB">
              <w:t>0.13</w:t>
            </w:r>
          </w:p>
        </w:tc>
        <w:tc>
          <w:tcPr>
            <w:tcW w:w="1276" w:type="dxa"/>
            <w:tcBorders>
              <w:top w:val="nil"/>
              <w:left w:val="nil"/>
              <w:bottom w:val="nil"/>
              <w:right w:val="nil"/>
            </w:tcBorders>
            <w:shd w:val="clear" w:color="auto" w:fill="auto"/>
            <w:noWrap/>
            <w:vAlign w:val="bottom"/>
            <w:hideMark/>
          </w:tcPr>
          <w:p w14:paraId="5D32A4E2" w14:textId="77777777" w:rsidR="008A1281" w:rsidRPr="00EA28CB" w:rsidRDefault="008A1281" w:rsidP="004320C0">
            <w:pPr>
              <w:spacing w:after="0" w:line="240" w:lineRule="auto"/>
            </w:pPr>
            <w:r w:rsidRPr="00EA28CB">
              <w:t>0.61</w:t>
            </w:r>
          </w:p>
        </w:tc>
        <w:tc>
          <w:tcPr>
            <w:tcW w:w="1376" w:type="dxa"/>
            <w:tcBorders>
              <w:top w:val="nil"/>
              <w:left w:val="nil"/>
              <w:bottom w:val="nil"/>
              <w:right w:val="nil"/>
            </w:tcBorders>
            <w:shd w:val="clear" w:color="auto" w:fill="auto"/>
            <w:noWrap/>
            <w:vAlign w:val="bottom"/>
            <w:hideMark/>
          </w:tcPr>
          <w:p w14:paraId="7AEC4AF7" w14:textId="56380555" w:rsidR="008A1281" w:rsidRPr="00EA28CB" w:rsidRDefault="008A1281" w:rsidP="004320C0">
            <w:pPr>
              <w:spacing w:after="0" w:line="240" w:lineRule="auto"/>
            </w:pPr>
            <w:r w:rsidRPr="00EA28CB">
              <w:t>0.6</w:t>
            </w:r>
            <w:r w:rsidR="00B25D8B">
              <w:t>0</w:t>
            </w:r>
          </w:p>
        </w:tc>
        <w:tc>
          <w:tcPr>
            <w:tcW w:w="1557" w:type="dxa"/>
            <w:tcBorders>
              <w:top w:val="nil"/>
              <w:left w:val="nil"/>
              <w:bottom w:val="nil"/>
              <w:right w:val="nil"/>
            </w:tcBorders>
            <w:shd w:val="clear" w:color="auto" w:fill="auto"/>
            <w:noWrap/>
            <w:vAlign w:val="bottom"/>
            <w:hideMark/>
          </w:tcPr>
          <w:p w14:paraId="5604CFE7" w14:textId="77777777" w:rsidR="008A1281" w:rsidRPr="00EA28CB" w:rsidRDefault="008A1281" w:rsidP="004320C0">
            <w:pPr>
              <w:spacing w:after="0" w:line="240" w:lineRule="auto"/>
            </w:pPr>
            <w:r w:rsidRPr="00EA28CB">
              <w:t>0.74</w:t>
            </w:r>
          </w:p>
        </w:tc>
        <w:tc>
          <w:tcPr>
            <w:tcW w:w="1219" w:type="dxa"/>
            <w:tcBorders>
              <w:top w:val="nil"/>
              <w:left w:val="nil"/>
              <w:bottom w:val="nil"/>
              <w:right w:val="nil"/>
            </w:tcBorders>
            <w:shd w:val="clear" w:color="auto" w:fill="auto"/>
            <w:noWrap/>
            <w:vAlign w:val="bottom"/>
            <w:hideMark/>
          </w:tcPr>
          <w:p w14:paraId="11A8B999" w14:textId="77777777" w:rsidR="008A1281" w:rsidRPr="00EA28CB" w:rsidRDefault="008A1281" w:rsidP="004320C0">
            <w:pPr>
              <w:spacing w:after="0" w:line="240" w:lineRule="auto"/>
            </w:pPr>
            <w:r w:rsidRPr="00EA28CB">
              <w:t>0.47</w:t>
            </w:r>
          </w:p>
        </w:tc>
        <w:tc>
          <w:tcPr>
            <w:tcW w:w="1219" w:type="dxa"/>
            <w:tcBorders>
              <w:top w:val="nil"/>
              <w:left w:val="nil"/>
              <w:bottom w:val="nil"/>
              <w:right w:val="nil"/>
            </w:tcBorders>
            <w:shd w:val="clear" w:color="auto" w:fill="auto"/>
            <w:noWrap/>
            <w:vAlign w:val="bottom"/>
            <w:hideMark/>
          </w:tcPr>
          <w:p w14:paraId="10E4CC8C" w14:textId="77777777" w:rsidR="008A1281" w:rsidRPr="00EA28CB" w:rsidRDefault="008A1281" w:rsidP="004320C0">
            <w:pPr>
              <w:spacing w:after="0" w:line="240" w:lineRule="auto"/>
            </w:pPr>
            <w:r w:rsidRPr="00EA28CB">
              <w:t>0.12</w:t>
            </w:r>
          </w:p>
        </w:tc>
      </w:tr>
      <w:tr w:rsidR="008A1281" w:rsidRPr="00127E34" w14:paraId="745B2567" w14:textId="77777777" w:rsidTr="006A68F1">
        <w:trPr>
          <w:trHeight w:val="300"/>
        </w:trPr>
        <w:tc>
          <w:tcPr>
            <w:tcW w:w="1751" w:type="dxa"/>
            <w:tcBorders>
              <w:top w:val="nil"/>
              <w:left w:val="nil"/>
              <w:bottom w:val="nil"/>
              <w:right w:val="nil"/>
            </w:tcBorders>
            <w:shd w:val="clear" w:color="auto" w:fill="auto"/>
            <w:noWrap/>
            <w:vAlign w:val="bottom"/>
            <w:hideMark/>
          </w:tcPr>
          <w:p w14:paraId="56CC2989" w14:textId="77777777" w:rsidR="008A1281" w:rsidRPr="00EA28CB" w:rsidRDefault="008A1281" w:rsidP="004320C0">
            <w:pPr>
              <w:spacing w:after="0" w:line="240" w:lineRule="auto"/>
            </w:pPr>
            <w:r w:rsidRPr="00EA28CB">
              <w:t>Dysmenorrhea</w:t>
            </w:r>
          </w:p>
        </w:tc>
        <w:tc>
          <w:tcPr>
            <w:tcW w:w="1226" w:type="dxa"/>
            <w:tcBorders>
              <w:top w:val="nil"/>
              <w:left w:val="nil"/>
              <w:bottom w:val="nil"/>
              <w:right w:val="nil"/>
            </w:tcBorders>
            <w:shd w:val="clear" w:color="auto" w:fill="auto"/>
            <w:noWrap/>
            <w:vAlign w:val="bottom"/>
            <w:hideMark/>
          </w:tcPr>
          <w:p w14:paraId="71625824" w14:textId="77777777" w:rsidR="008A1281" w:rsidRPr="00EA28CB" w:rsidRDefault="008A1281" w:rsidP="004320C0">
            <w:pPr>
              <w:spacing w:after="0" w:line="240" w:lineRule="auto"/>
            </w:pPr>
            <w:r w:rsidRPr="00EA28CB">
              <w:t>3.11</w:t>
            </w:r>
          </w:p>
        </w:tc>
        <w:tc>
          <w:tcPr>
            <w:tcW w:w="1276" w:type="dxa"/>
            <w:tcBorders>
              <w:top w:val="nil"/>
              <w:left w:val="nil"/>
              <w:bottom w:val="nil"/>
              <w:right w:val="nil"/>
            </w:tcBorders>
            <w:shd w:val="clear" w:color="auto" w:fill="auto"/>
            <w:noWrap/>
            <w:vAlign w:val="bottom"/>
            <w:hideMark/>
          </w:tcPr>
          <w:p w14:paraId="64DC4214" w14:textId="77777777" w:rsidR="008A1281" w:rsidRPr="00EA28CB" w:rsidRDefault="008A1281" w:rsidP="004320C0">
            <w:pPr>
              <w:spacing w:after="0" w:line="240" w:lineRule="auto"/>
            </w:pPr>
            <w:r w:rsidRPr="00EA28CB">
              <w:t>2.02</w:t>
            </w:r>
          </w:p>
        </w:tc>
        <w:tc>
          <w:tcPr>
            <w:tcW w:w="1376" w:type="dxa"/>
            <w:tcBorders>
              <w:top w:val="nil"/>
              <w:left w:val="nil"/>
              <w:bottom w:val="nil"/>
              <w:right w:val="nil"/>
            </w:tcBorders>
            <w:shd w:val="clear" w:color="auto" w:fill="auto"/>
            <w:noWrap/>
            <w:vAlign w:val="bottom"/>
            <w:hideMark/>
          </w:tcPr>
          <w:p w14:paraId="70DFF3C5" w14:textId="77777777" w:rsidR="008A1281" w:rsidRPr="00EA28CB" w:rsidRDefault="008A1281" w:rsidP="004320C0">
            <w:pPr>
              <w:spacing w:after="0" w:line="240" w:lineRule="auto"/>
            </w:pPr>
            <w:r w:rsidRPr="00EA28CB">
              <w:t>2.07</w:t>
            </w:r>
          </w:p>
        </w:tc>
        <w:tc>
          <w:tcPr>
            <w:tcW w:w="1557" w:type="dxa"/>
            <w:tcBorders>
              <w:top w:val="nil"/>
              <w:left w:val="nil"/>
              <w:bottom w:val="nil"/>
              <w:right w:val="nil"/>
            </w:tcBorders>
            <w:shd w:val="clear" w:color="auto" w:fill="auto"/>
            <w:noWrap/>
            <w:vAlign w:val="bottom"/>
            <w:hideMark/>
          </w:tcPr>
          <w:p w14:paraId="5A97CC18" w14:textId="77777777" w:rsidR="008A1281" w:rsidRPr="00EA28CB" w:rsidRDefault="008A1281" w:rsidP="004320C0">
            <w:pPr>
              <w:spacing w:after="0" w:line="240" w:lineRule="auto"/>
            </w:pPr>
            <w:r w:rsidRPr="00EA28CB">
              <w:t>0.95</w:t>
            </w:r>
          </w:p>
        </w:tc>
        <w:tc>
          <w:tcPr>
            <w:tcW w:w="1219" w:type="dxa"/>
            <w:tcBorders>
              <w:top w:val="nil"/>
              <w:left w:val="nil"/>
              <w:bottom w:val="nil"/>
              <w:right w:val="nil"/>
            </w:tcBorders>
            <w:shd w:val="clear" w:color="auto" w:fill="auto"/>
            <w:noWrap/>
            <w:vAlign w:val="bottom"/>
            <w:hideMark/>
          </w:tcPr>
          <w:p w14:paraId="0C7D948E" w14:textId="77777777" w:rsidR="008A1281" w:rsidRPr="00EA28CB" w:rsidRDefault="008A1281" w:rsidP="004320C0">
            <w:pPr>
              <w:spacing w:after="0" w:line="240" w:lineRule="auto"/>
            </w:pPr>
            <w:r w:rsidRPr="00EA28CB">
              <w:t>-1.04</w:t>
            </w:r>
          </w:p>
        </w:tc>
        <w:tc>
          <w:tcPr>
            <w:tcW w:w="1219" w:type="dxa"/>
            <w:tcBorders>
              <w:top w:val="nil"/>
              <w:left w:val="nil"/>
              <w:bottom w:val="nil"/>
              <w:right w:val="nil"/>
            </w:tcBorders>
            <w:shd w:val="clear" w:color="auto" w:fill="auto"/>
            <w:noWrap/>
            <w:vAlign w:val="bottom"/>
            <w:hideMark/>
          </w:tcPr>
          <w:p w14:paraId="48B8CB46" w14:textId="77777777" w:rsidR="008A1281" w:rsidRPr="00EA28CB" w:rsidRDefault="008A1281" w:rsidP="004320C0">
            <w:pPr>
              <w:spacing w:after="0" w:line="240" w:lineRule="auto"/>
            </w:pPr>
            <w:r w:rsidRPr="00EA28CB">
              <w:t>-1.07</w:t>
            </w:r>
          </w:p>
        </w:tc>
      </w:tr>
      <w:tr w:rsidR="008A1281" w:rsidRPr="00127E34" w14:paraId="58F64FEB" w14:textId="77777777" w:rsidTr="006A68F1">
        <w:trPr>
          <w:trHeight w:val="300"/>
        </w:trPr>
        <w:tc>
          <w:tcPr>
            <w:tcW w:w="1751" w:type="dxa"/>
            <w:tcBorders>
              <w:top w:val="nil"/>
              <w:left w:val="nil"/>
              <w:bottom w:val="nil"/>
              <w:right w:val="nil"/>
            </w:tcBorders>
            <w:shd w:val="clear" w:color="auto" w:fill="auto"/>
            <w:noWrap/>
            <w:vAlign w:val="bottom"/>
            <w:hideMark/>
          </w:tcPr>
          <w:p w14:paraId="67B6CC9D" w14:textId="77777777" w:rsidR="008A1281" w:rsidRPr="00EA28CB" w:rsidRDefault="008A1281" w:rsidP="004320C0">
            <w:pPr>
              <w:spacing w:after="0" w:line="240" w:lineRule="auto"/>
            </w:pPr>
            <w:r w:rsidRPr="00EA28CB">
              <w:t>Dyspepsia</w:t>
            </w:r>
          </w:p>
        </w:tc>
        <w:tc>
          <w:tcPr>
            <w:tcW w:w="1226" w:type="dxa"/>
            <w:tcBorders>
              <w:top w:val="nil"/>
              <w:left w:val="nil"/>
              <w:bottom w:val="nil"/>
              <w:right w:val="nil"/>
            </w:tcBorders>
            <w:shd w:val="clear" w:color="auto" w:fill="auto"/>
            <w:noWrap/>
            <w:vAlign w:val="bottom"/>
            <w:hideMark/>
          </w:tcPr>
          <w:p w14:paraId="6AD487F6" w14:textId="77777777" w:rsidR="008A1281" w:rsidRPr="00EA28CB" w:rsidRDefault="008A1281" w:rsidP="004320C0">
            <w:pPr>
              <w:spacing w:after="0" w:line="240" w:lineRule="auto"/>
            </w:pPr>
            <w:r w:rsidRPr="00EA28CB">
              <w:t>12.16</w:t>
            </w:r>
          </w:p>
        </w:tc>
        <w:tc>
          <w:tcPr>
            <w:tcW w:w="1276" w:type="dxa"/>
            <w:tcBorders>
              <w:top w:val="nil"/>
              <w:left w:val="nil"/>
              <w:bottom w:val="nil"/>
              <w:right w:val="nil"/>
            </w:tcBorders>
            <w:shd w:val="clear" w:color="auto" w:fill="auto"/>
            <w:noWrap/>
            <w:vAlign w:val="bottom"/>
            <w:hideMark/>
          </w:tcPr>
          <w:p w14:paraId="7670DBE7" w14:textId="77777777" w:rsidR="008A1281" w:rsidRPr="00EA28CB" w:rsidRDefault="008A1281" w:rsidP="004320C0">
            <w:pPr>
              <w:spacing w:after="0" w:line="240" w:lineRule="auto"/>
            </w:pPr>
            <w:r w:rsidRPr="00EA28CB">
              <w:t>5.37</w:t>
            </w:r>
          </w:p>
        </w:tc>
        <w:tc>
          <w:tcPr>
            <w:tcW w:w="1376" w:type="dxa"/>
            <w:tcBorders>
              <w:top w:val="nil"/>
              <w:left w:val="nil"/>
              <w:bottom w:val="nil"/>
              <w:right w:val="nil"/>
            </w:tcBorders>
            <w:shd w:val="clear" w:color="auto" w:fill="auto"/>
            <w:noWrap/>
            <w:vAlign w:val="bottom"/>
            <w:hideMark/>
          </w:tcPr>
          <w:p w14:paraId="62B130B7" w14:textId="77777777" w:rsidR="008A1281" w:rsidRPr="00EA28CB" w:rsidRDefault="008A1281" w:rsidP="004320C0">
            <w:pPr>
              <w:spacing w:after="0" w:line="240" w:lineRule="auto"/>
            </w:pPr>
            <w:r w:rsidRPr="00EA28CB">
              <w:t>9.94</w:t>
            </w:r>
          </w:p>
        </w:tc>
        <w:tc>
          <w:tcPr>
            <w:tcW w:w="1557" w:type="dxa"/>
            <w:tcBorders>
              <w:top w:val="nil"/>
              <w:left w:val="nil"/>
              <w:bottom w:val="nil"/>
              <w:right w:val="nil"/>
            </w:tcBorders>
            <w:shd w:val="clear" w:color="auto" w:fill="auto"/>
            <w:noWrap/>
            <w:vAlign w:val="bottom"/>
            <w:hideMark/>
          </w:tcPr>
          <w:p w14:paraId="42A6C9CD" w14:textId="77777777" w:rsidR="008A1281" w:rsidRPr="00EA28CB" w:rsidRDefault="008A1281" w:rsidP="004320C0">
            <w:pPr>
              <w:spacing w:after="0" w:line="240" w:lineRule="auto"/>
            </w:pPr>
            <w:r w:rsidRPr="00EA28CB">
              <w:t>3.01</w:t>
            </w:r>
          </w:p>
        </w:tc>
        <w:tc>
          <w:tcPr>
            <w:tcW w:w="1219" w:type="dxa"/>
            <w:tcBorders>
              <w:top w:val="nil"/>
              <w:left w:val="nil"/>
              <w:bottom w:val="nil"/>
              <w:right w:val="nil"/>
            </w:tcBorders>
            <w:shd w:val="clear" w:color="auto" w:fill="auto"/>
            <w:noWrap/>
            <w:vAlign w:val="bottom"/>
            <w:hideMark/>
          </w:tcPr>
          <w:p w14:paraId="139897D7" w14:textId="77777777" w:rsidR="008A1281" w:rsidRPr="00EA28CB" w:rsidRDefault="008A1281" w:rsidP="004320C0">
            <w:pPr>
              <w:spacing w:after="0" w:line="240" w:lineRule="auto"/>
            </w:pPr>
            <w:r w:rsidRPr="00EA28CB">
              <w:t>-2.22</w:t>
            </w:r>
          </w:p>
        </w:tc>
        <w:tc>
          <w:tcPr>
            <w:tcW w:w="1219" w:type="dxa"/>
            <w:tcBorders>
              <w:top w:val="nil"/>
              <w:left w:val="nil"/>
              <w:bottom w:val="nil"/>
              <w:right w:val="nil"/>
            </w:tcBorders>
            <w:shd w:val="clear" w:color="auto" w:fill="auto"/>
            <w:noWrap/>
            <w:vAlign w:val="bottom"/>
            <w:hideMark/>
          </w:tcPr>
          <w:p w14:paraId="6005C8D4" w14:textId="77777777" w:rsidR="008A1281" w:rsidRPr="00EA28CB" w:rsidRDefault="008A1281" w:rsidP="004320C0">
            <w:pPr>
              <w:spacing w:after="0" w:line="240" w:lineRule="auto"/>
            </w:pPr>
            <w:r w:rsidRPr="00EA28CB">
              <w:t>-2.36</w:t>
            </w:r>
          </w:p>
        </w:tc>
      </w:tr>
      <w:tr w:rsidR="008A1281" w:rsidRPr="00127E34" w14:paraId="688E3F94" w14:textId="77777777" w:rsidTr="006A68F1">
        <w:trPr>
          <w:trHeight w:val="300"/>
        </w:trPr>
        <w:tc>
          <w:tcPr>
            <w:tcW w:w="1751" w:type="dxa"/>
            <w:tcBorders>
              <w:top w:val="nil"/>
              <w:left w:val="nil"/>
              <w:bottom w:val="nil"/>
              <w:right w:val="nil"/>
            </w:tcBorders>
            <w:shd w:val="clear" w:color="auto" w:fill="auto"/>
            <w:noWrap/>
            <w:vAlign w:val="bottom"/>
            <w:hideMark/>
          </w:tcPr>
          <w:p w14:paraId="7C64E194" w14:textId="77777777" w:rsidR="008A1281" w:rsidRPr="00EA28CB" w:rsidRDefault="008A1281" w:rsidP="004320C0">
            <w:pPr>
              <w:spacing w:after="0" w:line="240" w:lineRule="auto"/>
            </w:pPr>
            <w:r w:rsidRPr="00EA28CB">
              <w:t>Eating disorders</w:t>
            </w:r>
          </w:p>
        </w:tc>
        <w:tc>
          <w:tcPr>
            <w:tcW w:w="1226" w:type="dxa"/>
            <w:tcBorders>
              <w:top w:val="nil"/>
              <w:left w:val="nil"/>
              <w:bottom w:val="nil"/>
              <w:right w:val="nil"/>
            </w:tcBorders>
            <w:shd w:val="clear" w:color="auto" w:fill="auto"/>
            <w:noWrap/>
            <w:vAlign w:val="bottom"/>
            <w:hideMark/>
          </w:tcPr>
          <w:p w14:paraId="452EEA98" w14:textId="77777777" w:rsidR="008A1281" w:rsidRPr="00EA28CB" w:rsidRDefault="008A1281" w:rsidP="004320C0">
            <w:pPr>
              <w:spacing w:after="0" w:line="240" w:lineRule="auto"/>
            </w:pPr>
            <w:r w:rsidRPr="00EA28CB">
              <w:t>0.92</w:t>
            </w:r>
          </w:p>
        </w:tc>
        <w:tc>
          <w:tcPr>
            <w:tcW w:w="1276" w:type="dxa"/>
            <w:tcBorders>
              <w:top w:val="nil"/>
              <w:left w:val="nil"/>
              <w:bottom w:val="nil"/>
              <w:right w:val="nil"/>
            </w:tcBorders>
            <w:shd w:val="clear" w:color="auto" w:fill="auto"/>
            <w:noWrap/>
            <w:vAlign w:val="bottom"/>
            <w:hideMark/>
          </w:tcPr>
          <w:p w14:paraId="33EA9E90" w14:textId="77777777" w:rsidR="008A1281" w:rsidRPr="00EA28CB" w:rsidRDefault="008A1281" w:rsidP="004320C0">
            <w:pPr>
              <w:spacing w:after="0" w:line="240" w:lineRule="auto"/>
            </w:pPr>
            <w:r w:rsidRPr="00EA28CB">
              <w:t>0.25</w:t>
            </w:r>
          </w:p>
        </w:tc>
        <w:tc>
          <w:tcPr>
            <w:tcW w:w="1376" w:type="dxa"/>
            <w:tcBorders>
              <w:top w:val="nil"/>
              <w:left w:val="nil"/>
              <w:bottom w:val="nil"/>
              <w:right w:val="nil"/>
            </w:tcBorders>
            <w:shd w:val="clear" w:color="auto" w:fill="auto"/>
            <w:noWrap/>
            <w:vAlign w:val="bottom"/>
            <w:hideMark/>
          </w:tcPr>
          <w:p w14:paraId="4AD1CFE1" w14:textId="77777777" w:rsidR="008A1281" w:rsidRPr="00EA28CB" w:rsidRDefault="008A1281" w:rsidP="004320C0">
            <w:pPr>
              <w:spacing w:after="0" w:line="240" w:lineRule="auto"/>
            </w:pPr>
            <w:r w:rsidRPr="00EA28CB">
              <w:t>1.01</w:t>
            </w:r>
          </w:p>
        </w:tc>
        <w:tc>
          <w:tcPr>
            <w:tcW w:w="1557" w:type="dxa"/>
            <w:tcBorders>
              <w:top w:val="nil"/>
              <w:left w:val="nil"/>
              <w:bottom w:val="nil"/>
              <w:right w:val="nil"/>
            </w:tcBorders>
            <w:shd w:val="clear" w:color="auto" w:fill="auto"/>
            <w:noWrap/>
            <w:vAlign w:val="bottom"/>
            <w:hideMark/>
          </w:tcPr>
          <w:p w14:paraId="6E20D535" w14:textId="77777777" w:rsidR="008A1281" w:rsidRPr="00EA28CB" w:rsidRDefault="008A1281" w:rsidP="004320C0">
            <w:pPr>
              <w:spacing w:after="0" w:line="240" w:lineRule="auto"/>
            </w:pPr>
            <w:r w:rsidRPr="00EA28CB">
              <w:t>0.12</w:t>
            </w:r>
          </w:p>
        </w:tc>
        <w:tc>
          <w:tcPr>
            <w:tcW w:w="1219" w:type="dxa"/>
            <w:tcBorders>
              <w:top w:val="nil"/>
              <w:left w:val="nil"/>
              <w:bottom w:val="nil"/>
              <w:right w:val="nil"/>
            </w:tcBorders>
            <w:shd w:val="clear" w:color="auto" w:fill="auto"/>
            <w:noWrap/>
            <w:vAlign w:val="bottom"/>
            <w:hideMark/>
          </w:tcPr>
          <w:p w14:paraId="7CA056B9" w14:textId="77777777" w:rsidR="008A1281" w:rsidRPr="00EA28CB" w:rsidRDefault="008A1281" w:rsidP="004320C0">
            <w:pPr>
              <w:spacing w:after="0" w:line="240" w:lineRule="auto"/>
            </w:pPr>
            <w:r w:rsidRPr="00EA28CB">
              <w:t>0.09</w:t>
            </w:r>
          </w:p>
        </w:tc>
        <w:tc>
          <w:tcPr>
            <w:tcW w:w="1219" w:type="dxa"/>
            <w:tcBorders>
              <w:top w:val="nil"/>
              <w:left w:val="nil"/>
              <w:bottom w:val="nil"/>
              <w:right w:val="nil"/>
            </w:tcBorders>
            <w:shd w:val="clear" w:color="auto" w:fill="auto"/>
            <w:noWrap/>
            <w:vAlign w:val="bottom"/>
            <w:hideMark/>
          </w:tcPr>
          <w:p w14:paraId="2E2BFCCE" w14:textId="77777777" w:rsidR="008A1281" w:rsidRPr="00EA28CB" w:rsidRDefault="008A1281" w:rsidP="004320C0">
            <w:pPr>
              <w:spacing w:after="0" w:line="240" w:lineRule="auto"/>
            </w:pPr>
            <w:r w:rsidRPr="00EA28CB">
              <w:t>-0.13</w:t>
            </w:r>
          </w:p>
        </w:tc>
      </w:tr>
      <w:tr w:rsidR="008A1281" w:rsidRPr="00127E34" w14:paraId="13EDF9FB" w14:textId="77777777" w:rsidTr="006A68F1">
        <w:trPr>
          <w:trHeight w:val="300"/>
        </w:trPr>
        <w:tc>
          <w:tcPr>
            <w:tcW w:w="1751" w:type="dxa"/>
            <w:tcBorders>
              <w:top w:val="nil"/>
              <w:left w:val="nil"/>
              <w:bottom w:val="nil"/>
              <w:right w:val="nil"/>
            </w:tcBorders>
            <w:shd w:val="clear" w:color="auto" w:fill="auto"/>
            <w:noWrap/>
            <w:vAlign w:val="bottom"/>
            <w:hideMark/>
          </w:tcPr>
          <w:p w14:paraId="3429FB51" w14:textId="77777777" w:rsidR="008A1281" w:rsidRPr="00EA28CB" w:rsidRDefault="008A1281" w:rsidP="004320C0">
            <w:pPr>
              <w:spacing w:after="0" w:line="240" w:lineRule="auto"/>
            </w:pPr>
            <w:r w:rsidRPr="00EA28CB">
              <w:t>Emotion</w:t>
            </w:r>
          </w:p>
        </w:tc>
        <w:tc>
          <w:tcPr>
            <w:tcW w:w="1226" w:type="dxa"/>
            <w:tcBorders>
              <w:top w:val="nil"/>
              <w:left w:val="nil"/>
              <w:bottom w:val="nil"/>
              <w:right w:val="nil"/>
            </w:tcBorders>
            <w:shd w:val="clear" w:color="auto" w:fill="auto"/>
            <w:noWrap/>
            <w:vAlign w:val="bottom"/>
            <w:hideMark/>
          </w:tcPr>
          <w:p w14:paraId="499B1124" w14:textId="77777777" w:rsidR="008A1281" w:rsidRPr="00EA28CB" w:rsidRDefault="008A1281" w:rsidP="004320C0">
            <w:pPr>
              <w:spacing w:after="0" w:line="240" w:lineRule="auto"/>
            </w:pPr>
            <w:r w:rsidRPr="00EA28CB">
              <w:t>0.06</w:t>
            </w:r>
          </w:p>
        </w:tc>
        <w:tc>
          <w:tcPr>
            <w:tcW w:w="1276" w:type="dxa"/>
            <w:tcBorders>
              <w:top w:val="nil"/>
              <w:left w:val="nil"/>
              <w:bottom w:val="nil"/>
              <w:right w:val="nil"/>
            </w:tcBorders>
            <w:shd w:val="clear" w:color="auto" w:fill="auto"/>
            <w:noWrap/>
            <w:vAlign w:val="bottom"/>
            <w:hideMark/>
          </w:tcPr>
          <w:p w14:paraId="5CED6D31" w14:textId="77777777" w:rsidR="008A1281" w:rsidRPr="00EA28CB" w:rsidRDefault="008A1281" w:rsidP="004320C0">
            <w:pPr>
              <w:spacing w:after="0" w:line="240" w:lineRule="auto"/>
            </w:pPr>
            <w:r w:rsidRPr="00EA28CB">
              <w:t>0.02</w:t>
            </w:r>
          </w:p>
        </w:tc>
        <w:tc>
          <w:tcPr>
            <w:tcW w:w="1376" w:type="dxa"/>
            <w:tcBorders>
              <w:top w:val="nil"/>
              <w:left w:val="nil"/>
              <w:bottom w:val="nil"/>
              <w:right w:val="nil"/>
            </w:tcBorders>
            <w:shd w:val="clear" w:color="auto" w:fill="auto"/>
            <w:noWrap/>
            <w:vAlign w:val="bottom"/>
            <w:hideMark/>
          </w:tcPr>
          <w:p w14:paraId="1B82C5D9" w14:textId="77777777" w:rsidR="008A1281" w:rsidRPr="00EA28CB" w:rsidRDefault="008A1281" w:rsidP="004320C0">
            <w:pPr>
              <w:spacing w:after="0" w:line="240" w:lineRule="auto"/>
            </w:pPr>
            <w:r w:rsidRPr="00EA28CB">
              <w:t>0.06</w:t>
            </w:r>
          </w:p>
        </w:tc>
        <w:tc>
          <w:tcPr>
            <w:tcW w:w="1557" w:type="dxa"/>
            <w:tcBorders>
              <w:top w:val="nil"/>
              <w:left w:val="nil"/>
              <w:bottom w:val="nil"/>
              <w:right w:val="nil"/>
            </w:tcBorders>
            <w:shd w:val="clear" w:color="auto" w:fill="auto"/>
            <w:noWrap/>
            <w:vAlign w:val="bottom"/>
            <w:hideMark/>
          </w:tcPr>
          <w:p w14:paraId="02ECCF88" w14:textId="77777777" w:rsidR="008A1281" w:rsidRPr="00EA28CB" w:rsidRDefault="008A1281" w:rsidP="004320C0">
            <w:pPr>
              <w:spacing w:after="0" w:line="240" w:lineRule="auto"/>
            </w:pPr>
            <w:r w:rsidRPr="00EA28CB">
              <w:t>0.03</w:t>
            </w:r>
          </w:p>
        </w:tc>
        <w:tc>
          <w:tcPr>
            <w:tcW w:w="1219" w:type="dxa"/>
            <w:tcBorders>
              <w:top w:val="nil"/>
              <w:left w:val="nil"/>
              <w:bottom w:val="nil"/>
              <w:right w:val="nil"/>
            </w:tcBorders>
            <w:shd w:val="clear" w:color="auto" w:fill="auto"/>
            <w:noWrap/>
            <w:vAlign w:val="bottom"/>
            <w:hideMark/>
          </w:tcPr>
          <w:p w14:paraId="51E242A3" w14:textId="3519FCA2"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702343D3" w14:textId="6B5097E9" w:rsidR="008A1281" w:rsidRPr="00EA28CB" w:rsidRDefault="008A1281" w:rsidP="004320C0">
            <w:pPr>
              <w:spacing w:after="0" w:line="240" w:lineRule="auto"/>
            </w:pPr>
            <w:r w:rsidRPr="00EA28CB">
              <w:t>0</w:t>
            </w:r>
            <w:r w:rsidR="004D5992">
              <w:t>.01</w:t>
            </w:r>
          </w:p>
        </w:tc>
      </w:tr>
      <w:tr w:rsidR="008A1281" w:rsidRPr="00127E34" w14:paraId="0E5AE3E3" w14:textId="77777777" w:rsidTr="006A68F1">
        <w:trPr>
          <w:trHeight w:val="300"/>
        </w:trPr>
        <w:tc>
          <w:tcPr>
            <w:tcW w:w="1751" w:type="dxa"/>
            <w:tcBorders>
              <w:top w:val="nil"/>
              <w:left w:val="nil"/>
              <w:bottom w:val="nil"/>
              <w:right w:val="nil"/>
            </w:tcBorders>
            <w:shd w:val="clear" w:color="auto" w:fill="auto"/>
            <w:noWrap/>
            <w:vAlign w:val="bottom"/>
            <w:hideMark/>
          </w:tcPr>
          <w:p w14:paraId="2B9BBD45" w14:textId="77777777" w:rsidR="008A1281" w:rsidRPr="00EA28CB" w:rsidRDefault="008A1281" w:rsidP="004320C0">
            <w:pPr>
              <w:spacing w:after="0" w:line="240" w:lineRule="auto"/>
            </w:pPr>
            <w:r w:rsidRPr="00EA28CB">
              <w:t>Epilepsy</w:t>
            </w:r>
          </w:p>
        </w:tc>
        <w:tc>
          <w:tcPr>
            <w:tcW w:w="1226" w:type="dxa"/>
            <w:tcBorders>
              <w:top w:val="nil"/>
              <w:left w:val="nil"/>
              <w:bottom w:val="nil"/>
              <w:right w:val="nil"/>
            </w:tcBorders>
            <w:shd w:val="clear" w:color="auto" w:fill="auto"/>
            <w:noWrap/>
            <w:vAlign w:val="bottom"/>
            <w:hideMark/>
          </w:tcPr>
          <w:p w14:paraId="10B8C48E" w14:textId="77777777" w:rsidR="008A1281" w:rsidRPr="00EA28CB" w:rsidRDefault="008A1281" w:rsidP="004320C0">
            <w:pPr>
              <w:spacing w:after="0" w:line="240" w:lineRule="auto"/>
            </w:pPr>
            <w:r w:rsidRPr="00EA28CB">
              <w:t>1.25</w:t>
            </w:r>
          </w:p>
        </w:tc>
        <w:tc>
          <w:tcPr>
            <w:tcW w:w="1276" w:type="dxa"/>
            <w:tcBorders>
              <w:top w:val="nil"/>
              <w:left w:val="nil"/>
              <w:bottom w:val="nil"/>
              <w:right w:val="nil"/>
            </w:tcBorders>
            <w:shd w:val="clear" w:color="auto" w:fill="auto"/>
            <w:noWrap/>
            <w:vAlign w:val="bottom"/>
            <w:hideMark/>
          </w:tcPr>
          <w:p w14:paraId="1B592FD0" w14:textId="77777777" w:rsidR="008A1281" w:rsidRPr="00EA28CB" w:rsidRDefault="008A1281" w:rsidP="004320C0">
            <w:pPr>
              <w:spacing w:after="0" w:line="240" w:lineRule="auto"/>
            </w:pPr>
            <w:r w:rsidRPr="00EA28CB">
              <w:t>0.83</w:t>
            </w:r>
          </w:p>
        </w:tc>
        <w:tc>
          <w:tcPr>
            <w:tcW w:w="1376" w:type="dxa"/>
            <w:tcBorders>
              <w:top w:val="nil"/>
              <w:left w:val="nil"/>
              <w:bottom w:val="nil"/>
              <w:right w:val="nil"/>
            </w:tcBorders>
            <w:shd w:val="clear" w:color="auto" w:fill="auto"/>
            <w:noWrap/>
            <w:vAlign w:val="bottom"/>
            <w:hideMark/>
          </w:tcPr>
          <w:p w14:paraId="478C0931" w14:textId="77777777" w:rsidR="008A1281" w:rsidRPr="00EA28CB" w:rsidRDefault="008A1281" w:rsidP="004320C0">
            <w:pPr>
              <w:spacing w:after="0" w:line="240" w:lineRule="auto"/>
            </w:pPr>
            <w:r w:rsidRPr="00EA28CB">
              <w:t>1.33</w:t>
            </w:r>
          </w:p>
        </w:tc>
        <w:tc>
          <w:tcPr>
            <w:tcW w:w="1557" w:type="dxa"/>
            <w:tcBorders>
              <w:top w:val="nil"/>
              <w:left w:val="nil"/>
              <w:bottom w:val="nil"/>
              <w:right w:val="nil"/>
            </w:tcBorders>
            <w:shd w:val="clear" w:color="auto" w:fill="auto"/>
            <w:noWrap/>
            <w:vAlign w:val="bottom"/>
            <w:hideMark/>
          </w:tcPr>
          <w:p w14:paraId="62497357" w14:textId="77777777" w:rsidR="008A1281" w:rsidRPr="00EA28CB" w:rsidRDefault="008A1281" w:rsidP="004320C0">
            <w:pPr>
              <w:spacing w:after="0" w:line="240" w:lineRule="auto"/>
            </w:pPr>
            <w:r w:rsidRPr="00EA28CB">
              <w:t>0.34</w:t>
            </w:r>
          </w:p>
        </w:tc>
        <w:tc>
          <w:tcPr>
            <w:tcW w:w="1219" w:type="dxa"/>
            <w:tcBorders>
              <w:top w:val="nil"/>
              <w:left w:val="nil"/>
              <w:bottom w:val="nil"/>
              <w:right w:val="nil"/>
            </w:tcBorders>
            <w:shd w:val="clear" w:color="auto" w:fill="auto"/>
            <w:noWrap/>
            <w:vAlign w:val="bottom"/>
            <w:hideMark/>
          </w:tcPr>
          <w:p w14:paraId="36DAC8F1" w14:textId="77777777" w:rsidR="008A1281" w:rsidRPr="00EA28CB" w:rsidRDefault="008A1281" w:rsidP="004320C0">
            <w:pPr>
              <w:spacing w:after="0" w:line="240" w:lineRule="auto"/>
            </w:pPr>
            <w:r w:rsidRPr="00EA28CB">
              <w:t>0.07</w:t>
            </w:r>
          </w:p>
        </w:tc>
        <w:tc>
          <w:tcPr>
            <w:tcW w:w="1219" w:type="dxa"/>
            <w:tcBorders>
              <w:top w:val="nil"/>
              <w:left w:val="nil"/>
              <w:bottom w:val="nil"/>
              <w:right w:val="nil"/>
            </w:tcBorders>
            <w:shd w:val="clear" w:color="auto" w:fill="auto"/>
            <w:noWrap/>
            <w:vAlign w:val="bottom"/>
            <w:hideMark/>
          </w:tcPr>
          <w:p w14:paraId="025B9474" w14:textId="6DF7D47A" w:rsidR="008A1281" w:rsidRPr="00EA28CB" w:rsidRDefault="008A1281" w:rsidP="004320C0">
            <w:pPr>
              <w:spacing w:after="0" w:line="240" w:lineRule="auto"/>
            </w:pPr>
            <w:r w:rsidRPr="00EA28CB">
              <w:t>-0.5</w:t>
            </w:r>
            <w:r w:rsidR="004D5992">
              <w:t>0</w:t>
            </w:r>
          </w:p>
        </w:tc>
      </w:tr>
      <w:tr w:rsidR="008A1281" w:rsidRPr="00127E34" w14:paraId="0DC4D2D0" w14:textId="77777777" w:rsidTr="006A68F1">
        <w:trPr>
          <w:trHeight w:val="300"/>
        </w:trPr>
        <w:tc>
          <w:tcPr>
            <w:tcW w:w="1751" w:type="dxa"/>
            <w:tcBorders>
              <w:top w:val="nil"/>
              <w:left w:val="nil"/>
              <w:bottom w:val="nil"/>
              <w:right w:val="nil"/>
            </w:tcBorders>
            <w:shd w:val="clear" w:color="auto" w:fill="auto"/>
            <w:noWrap/>
            <w:vAlign w:val="bottom"/>
            <w:hideMark/>
          </w:tcPr>
          <w:p w14:paraId="4FE5225B" w14:textId="77777777" w:rsidR="008A1281" w:rsidRPr="00EA28CB" w:rsidRDefault="008A1281" w:rsidP="004320C0">
            <w:pPr>
              <w:spacing w:after="0" w:line="240" w:lineRule="auto"/>
            </w:pPr>
            <w:r w:rsidRPr="00EA28CB">
              <w:t>Headache</w:t>
            </w:r>
          </w:p>
        </w:tc>
        <w:tc>
          <w:tcPr>
            <w:tcW w:w="1226" w:type="dxa"/>
            <w:tcBorders>
              <w:top w:val="nil"/>
              <w:left w:val="nil"/>
              <w:bottom w:val="nil"/>
              <w:right w:val="nil"/>
            </w:tcBorders>
            <w:shd w:val="clear" w:color="auto" w:fill="auto"/>
            <w:noWrap/>
            <w:vAlign w:val="bottom"/>
            <w:hideMark/>
          </w:tcPr>
          <w:p w14:paraId="2463D1F4" w14:textId="77777777" w:rsidR="008A1281" w:rsidRPr="00EA28CB" w:rsidRDefault="008A1281" w:rsidP="004320C0">
            <w:pPr>
              <w:spacing w:after="0" w:line="240" w:lineRule="auto"/>
            </w:pPr>
            <w:r w:rsidRPr="00EA28CB">
              <w:t>12.16</w:t>
            </w:r>
          </w:p>
        </w:tc>
        <w:tc>
          <w:tcPr>
            <w:tcW w:w="1276" w:type="dxa"/>
            <w:tcBorders>
              <w:top w:val="nil"/>
              <w:left w:val="nil"/>
              <w:bottom w:val="nil"/>
              <w:right w:val="nil"/>
            </w:tcBorders>
            <w:shd w:val="clear" w:color="auto" w:fill="auto"/>
            <w:noWrap/>
            <w:vAlign w:val="bottom"/>
            <w:hideMark/>
          </w:tcPr>
          <w:p w14:paraId="247A4FC4" w14:textId="77777777" w:rsidR="008A1281" w:rsidRPr="00EA28CB" w:rsidRDefault="008A1281" w:rsidP="004320C0">
            <w:pPr>
              <w:spacing w:after="0" w:line="240" w:lineRule="auto"/>
            </w:pPr>
            <w:r w:rsidRPr="00EA28CB">
              <w:t>5.37</w:t>
            </w:r>
          </w:p>
        </w:tc>
        <w:tc>
          <w:tcPr>
            <w:tcW w:w="1376" w:type="dxa"/>
            <w:tcBorders>
              <w:top w:val="nil"/>
              <w:left w:val="nil"/>
              <w:bottom w:val="nil"/>
              <w:right w:val="nil"/>
            </w:tcBorders>
            <w:shd w:val="clear" w:color="auto" w:fill="auto"/>
            <w:noWrap/>
            <w:vAlign w:val="bottom"/>
            <w:hideMark/>
          </w:tcPr>
          <w:p w14:paraId="0352C8AE" w14:textId="77777777" w:rsidR="008A1281" w:rsidRPr="00EA28CB" w:rsidRDefault="008A1281" w:rsidP="004320C0">
            <w:pPr>
              <w:spacing w:after="0" w:line="240" w:lineRule="auto"/>
            </w:pPr>
            <w:r w:rsidRPr="00EA28CB">
              <w:t>12.7</w:t>
            </w:r>
          </w:p>
        </w:tc>
        <w:tc>
          <w:tcPr>
            <w:tcW w:w="1557" w:type="dxa"/>
            <w:tcBorders>
              <w:top w:val="nil"/>
              <w:left w:val="nil"/>
              <w:bottom w:val="nil"/>
              <w:right w:val="nil"/>
            </w:tcBorders>
            <w:shd w:val="clear" w:color="auto" w:fill="auto"/>
            <w:noWrap/>
            <w:vAlign w:val="bottom"/>
            <w:hideMark/>
          </w:tcPr>
          <w:p w14:paraId="19E970B6" w14:textId="77777777" w:rsidR="008A1281" w:rsidRPr="00EA28CB" w:rsidRDefault="008A1281" w:rsidP="004320C0">
            <w:pPr>
              <w:spacing w:after="0" w:line="240" w:lineRule="auto"/>
            </w:pPr>
            <w:r w:rsidRPr="00EA28CB">
              <w:t>3.79</w:t>
            </w:r>
          </w:p>
        </w:tc>
        <w:tc>
          <w:tcPr>
            <w:tcW w:w="1219" w:type="dxa"/>
            <w:tcBorders>
              <w:top w:val="nil"/>
              <w:left w:val="nil"/>
              <w:bottom w:val="nil"/>
              <w:right w:val="nil"/>
            </w:tcBorders>
            <w:shd w:val="clear" w:color="auto" w:fill="auto"/>
            <w:noWrap/>
            <w:vAlign w:val="bottom"/>
            <w:hideMark/>
          </w:tcPr>
          <w:p w14:paraId="2B95C41F" w14:textId="77777777" w:rsidR="008A1281" w:rsidRPr="00EA28CB" w:rsidRDefault="008A1281" w:rsidP="004320C0">
            <w:pPr>
              <w:spacing w:after="0" w:line="240" w:lineRule="auto"/>
            </w:pPr>
            <w:r w:rsidRPr="00EA28CB">
              <w:t>0.54</w:t>
            </w:r>
          </w:p>
        </w:tc>
        <w:tc>
          <w:tcPr>
            <w:tcW w:w="1219" w:type="dxa"/>
            <w:tcBorders>
              <w:top w:val="nil"/>
              <w:left w:val="nil"/>
              <w:bottom w:val="nil"/>
              <w:right w:val="nil"/>
            </w:tcBorders>
            <w:shd w:val="clear" w:color="auto" w:fill="auto"/>
            <w:noWrap/>
            <w:vAlign w:val="bottom"/>
            <w:hideMark/>
          </w:tcPr>
          <w:p w14:paraId="2B91A71D" w14:textId="77777777" w:rsidR="008A1281" w:rsidRPr="00EA28CB" w:rsidRDefault="008A1281" w:rsidP="004320C0">
            <w:pPr>
              <w:spacing w:after="0" w:line="240" w:lineRule="auto"/>
            </w:pPr>
            <w:r w:rsidRPr="00EA28CB">
              <w:t>-1.58</w:t>
            </w:r>
          </w:p>
        </w:tc>
      </w:tr>
      <w:tr w:rsidR="008A1281" w:rsidRPr="00127E34" w14:paraId="5CD86C4E" w14:textId="77777777" w:rsidTr="006A68F1">
        <w:trPr>
          <w:trHeight w:val="300"/>
        </w:trPr>
        <w:tc>
          <w:tcPr>
            <w:tcW w:w="1751" w:type="dxa"/>
            <w:tcBorders>
              <w:top w:val="nil"/>
              <w:left w:val="nil"/>
              <w:bottom w:val="nil"/>
              <w:right w:val="nil"/>
            </w:tcBorders>
            <w:shd w:val="clear" w:color="auto" w:fill="auto"/>
            <w:noWrap/>
            <w:vAlign w:val="bottom"/>
            <w:hideMark/>
          </w:tcPr>
          <w:p w14:paraId="52D82FC8" w14:textId="77777777" w:rsidR="008A1281" w:rsidRPr="00EA28CB" w:rsidRDefault="008A1281" w:rsidP="004320C0">
            <w:pPr>
              <w:spacing w:after="0" w:line="240" w:lineRule="auto"/>
            </w:pPr>
            <w:r w:rsidRPr="00EA28CB">
              <w:t>Homeless</w:t>
            </w:r>
          </w:p>
        </w:tc>
        <w:tc>
          <w:tcPr>
            <w:tcW w:w="1226" w:type="dxa"/>
            <w:tcBorders>
              <w:top w:val="nil"/>
              <w:left w:val="nil"/>
              <w:bottom w:val="nil"/>
              <w:right w:val="nil"/>
            </w:tcBorders>
            <w:shd w:val="clear" w:color="auto" w:fill="auto"/>
            <w:noWrap/>
            <w:vAlign w:val="bottom"/>
            <w:hideMark/>
          </w:tcPr>
          <w:p w14:paraId="4AADEAAA" w14:textId="77777777" w:rsidR="008A1281" w:rsidRPr="00EA28CB" w:rsidRDefault="008A1281" w:rsidP="004320C0">
            <w:pPr>
              <w:spacing w:after="0" w:line="240" w:lineRule="auto"/>
            </w:pPr>
            <w:r w:rsidRPr="00EA28CB">
              <w:t>0.08</w:t>
            </w:r>
          </w:p>
        </w:tc>
        <w:tc>
          <w:tcPr>
            <w:tcW w:w="1276" w:type="dxa"/>
            <w:tcBorders>
              <w:top w:val="nil"/>
              <w:left w:val="nil"/>
              <w:bottom w:val="nil"/>
              <w:right w:val="nil"/>
            </w:tcBorders>
            <w:shd w:val="clear" w:color="auto" w:fill="auto"/>
            <w:noWrap/>
            <w:vAlign w:val="bottom"/>
            <w:hideMark/>
          </w:tcPr>
          <w:p w14:paraId="0D1061E3" w14:textId="77777777" w:rsidR="008A1281" w:rsidRPr="00EA28CB" w:rsidRDefault="008A1281" w:rsidP="004320C0">
            <w:pPr>
              <w:spacing w:after="0" w:line="240" w:lineRule="auto"/>
            </w:pPr>
            <w:r w:rsidRPr="00EA28CB">
              <w:t>0.03</w:t>
            </w:r>
          </w:p>
        </w:tc>
        <w:tc>
          <w:tcPr>
            <w:tcW w:w="1376" w:type="dxa"/>
            <w:tcBorders>
              <w:top w:val="nil"/>
              <w:left w:val="nil"/>
              <w:bottom w:val="nil"/>
              <w:right w:val="nil"/>
            </w:tcBorders>
            <w:shd w:val="clear" w:color="auto" w:fill="auto"/>
            <w:noWrap/>
            <w:vAlign w:val="bottom"/>
            <w:hideMark/>
          </w:tcPr>
          <w:p w14:paraId="48880B0B" w14:textId="77777777" w:rsidR="008A1281" w:rsidRPr="00EA28CB" w:rsidRDefault="008A1281" w:rsidP="004320C0">
            <w:pPr>
              <w:spacing w:after="0" w:line="240" w:lineRule="auto"/>
            </w:pPr>
            <w:r w:rsidRPr="00EA28CB">
              <w:t>0.07</w:t>
            </w:r>
          </w:p>
        </w:tc>
        <w:tc>
          <w:tcPr>
            <w:tcW w:w="1557" w:type="dxa"/>
            <w:tcBorders>
              <w:top w:val="nil"/>
              <w:left w:val="nil"/>
              <w:bottom w:val="nil"/>
              <w:right w:val="nil"/>
            </w:tcBorders>
            <w:shd w:val="clear" w:color="auto" w:fill="auto"/>
            <w:noWrap/>
            <w:vAlign w:val="bottom"/>
            <w:hideMark/>
          </w:tcPr>
          <w:p w14:paraId="261C8D13" w14:textId="56A9AB0F"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305CD0D8"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73C4B81F" w14:textId="77777777" w:rsidR="008A1281" w:rsidRPr="00EA28CB" w:rsidRDefault="008A1281" w:rsidP="004320C0">
            <w:pPr>
              <w:spacing w:after="0" w:line="240" w:lineRule="auto"/>
            </w:pPr>
            <w:r w:rsidRPr="00EA28CB">
              <w:t>-0.03</w:t>
            </w:r>
          </w:p>
        </w:tc>
      </w:tr>
      <w:tr w:rsidR="008A1281" w:rsidRPr="00127E34" w14:paraId="5F3F6438" w14:textId="77777777" w:rsidTr="006A68F1">
        <w:trPr>
          <w:trHeight w:val="300"/>
        </w:trPr>
        <w:tc>
          <w:tcPr>
            <w:tcW w:w="1751" w:type="dxa"/>
            <w:tcBorders>
              <w:top w:val="nil"/>
              <w:left w:val="nil"/>
              <w:bottom w:val="nil"/>
              <w:right w:val="nil"/>
            </w:tcBorders>
            <w:shd w:val="clear" w:color="auto" w:fill="auto"/>
            <w:noWrap/>
            <w:vAlign w:val="bottom"/>
            <w:hideMark/>
          </w:tcPr>
          <w:p w14:paraId="75BFCDAA" w14:textId="77777777" w:rsidR="008A1281" w:rsidRPr="00EA28CB" w:rsidRDefault="008A1281" w:rsidP="004320C0">
            <w:pPr>
              <w:spacing w:after="0" w:line="240" w:lineRule="auto"/>
            </w:pPr>
            <w:r w:rsidRPr="00EA28CB">
              <w:t>Alcohol misuse</w:t>
            </w:r>
          </w:p>
        </w:tc>
        <w:tc>
          <w:tcPr>
            <w:tcW w:w="1226" w:type="dxa"/>
            <w:tcBorders>
              <w:top w:val="nil"/>
              <w:left w:val="nil"/>
              <w:bottom w:val="nil"/>
              <w:right w:val="nil"/>
            </w:tcBorders>
            <w:shd w:val="clear" w:color="auto" w:fill="auto"/>
            <w:noWrap/>
            <w:vAlign w:val="bottom"/>
            <w:hideMark/>
          </w:tcPr>
          <w:p w14:paraId="5A41F116" w14:textId="77777777" w:rsidR="008A1281" w:rsidRPr="00EA28CB" w:rsidRDefault="008A1281" w:rsidP="004320C0">
            <w:pPr>
              <w:spacing w:after="0" w:line="240" w:lineRule="auto"/>
            </w:pPr>
            <w:r w:rsidRPr="00EA28CB">
              <w:t>0.76</w:t>
            </w:r>
          </w:p>
        </w:tc>
        <w:tc>
          <w:tcPr>
            <w:tcW w:w="1276" w:type="dxa"/>
            <w:tcBorders>
              <w:top w:val="nil"/>
              <w:left w:val="nil"/>
              <w:bottom w:val="nil"/>
              <w:right w:val="nil"/>
            </w:tcBorders>
            <w:shd w:val="clear" w:color="auto" w:fill="auto"/>
            <w:noWrap/>
            <w:vAlign w:val="bottom"/>
            <w:hideMark/>
          </w:tcPr>
          <w:p w14:paraId="2ECABC6C" w14:textId="77777777" w:rsidR="008A1281" w:rsidRPr="00EA28CB" w:rsidRDefault="008A1281" w:rsidP="004320C0">
            <w:pPr>
              <w:spacing w:after="0" w:line="240" w:lineRule="auto"/>
            </w:pPr>
            <w:r w:rsidRPr="00EA28CB">
              <w:t>0.31</w:t>
            </w:r>
          </w:p>
        </w:tc>
        <w:tc>
          <w:tcPr>
            <w:tcW w:w="1376" w:type="dxa"/>
            <w:tcBorders>
              <w:top w:val="nil"/>
              <w:left w:val="nil"/>
              <w:bottom w:val="nil"/>
              <w:right w:val="nil"/>
            </w:tcBorders>
            <w:shd w:val="clear" w:color="auto" w:fill="auto"/>
            <w:noWrap/>
            <w:vAlign w:val="bottom"/>
            <w:hideMark/>
          </w:tcPr>
          <w:p w14:paraId="32AB5680" w14:textId="77777777" w:rsidR="008A1281" w:rsidRPr="00EA28CB" w:rsidRDefault="008A1281" w:rsidP="004320C0">
            <w:pPr>
              <w:spacing w:after="0" w:line="240" w:lineRule="auto"/>
            </w:pPr>
            <w:r w:rsidRPr="00EA28CB">
              <w:t>1.15</w:t>
            </w:r>
          </w:p>
        </w:tc>
        <w:tc>
          <w:tcPr>
            <w:tcW w:w="1557" w:type="dxa"/>
            <w:tcBorders>
              <w:top w:val="nil"/>
              <w:left w:val="nil"/>
              <w:bottom w:val="nil"/>
              <w:right w:val="nil"/>
            </w:tcBorders>
            <w:shd w:val="clear" w:color="auto" w:fill="auto"/>
            <w:noWrap/>
            <w:vAlign w:val="bottom"/>
            <w:hideMark/>
          </w:tcPr>
          <w:p w14:paraId="7222291D" w14:textId="77777777" w:rsidR="008A1281" w:rsidRPr="00EA28CB" w:rsidRDefault="008A1281" w:rsidP="004320C0">
            <w:pPr>
              <w:spacing w:after="0" w:line="240" w:lineRule="auto"/>
            </w:pPr>
            <w:r w:rsidRPr="00EA28CB">
              <w:t>0.25</w:t>
            </w:r>
          </w:p>
        </w:tc>
        <w:tc>
          <w:tcPr>
            <w:tcW w:w="1219" w:type="dxa"/>
            <w:tcBorders>
              <w:top w:val="nil"/>
              <w:left w:val="nil"/>
              <w:bottom w:val="nil"/>
              <w:right w:val="nil"/>
            </w:tcBorders>
            <w:shd w:val="clear" w:color="auto" w:fill="auto"/>
            <w:noWrap/>
            <w:vAlign w:val="bottom"/>
            <w:hideMark/>
          </w:tcPr>
          <w:p w14:paraId="23903BB7" w14:textId="77777777" w:rsidR="008A1281" w:rsidRPr="00EA28CB" w:rsidRDefault="008A1281" w:rsidP="004320C0">
            <w:pPr>
              <w:spacing w:after="0" w:line="240" w:lineRule="auto"/>
            </w:pPr>
            <w:r w:rsidRPr="00EA28CB">
              <w:t>0.38</w:t>
            </w:r>
          </w:p>
        </w:tc>
        <w:tc>
          <w:tcPr>
            <w:tcW w:w="1219" w:type="dxa"/>
            <w:tcBorders>
              <w:top w:val="nil"/>
              <w:left w:val="nil"/>
              <w:bottom w:val="nil"/>
              <w:right w:val="nil"/>
            </w:tcBorders>
            <w:shd w:val="clear" w:color="auto" w:fill="auto"/>
            <w:noWrap/>
            <w:vAlign w:val="bottom"/>
            <w:hideMark/>
          </w:tcPr>
          <w:p w14:paraId="6F4FB0D2" w14:textId="77777777" w:rsidR="008A1281" w:rsidRPr="00EA28CB" w:rsidRDefault="008A1281" w:rsidP="004320C0">
            <w:pPr>
              <w:spacing w:after="0" w:line="240" w:lineRule="auto"/>
            </w:pPr>
            <w:r w:rsidRPr="00EA28CB">
              <w:t>-0.06</w:t>
            </w:r>
          </w:p>
        </w:tc>
      </w:tr>
      <w:tr w:rsidR="008A1281" w:rsidRPr="00127E34" w14:paraId="1453FB0A" w14:textId="77777777" w:rsidTr="006A68F1">
        <w:trPr>
          <w:trHeight w:val="300"/>
        </w:trPr>
        <w:tc>
          <w:tcPr>
            <w:tcW w:w="1751" w:type="dxa"/>
            <w:tcBorders>
              <w:top w:val="nil"/>
              <w:left w:val="nil"/>
              <w:bottom w:val="nil"/>
              <w:right w:val="nil"/>
            </w:tcBorders>
            <w:shd w:val="clear" w:color="auto" w:fill="auto"/>
            <w:noWrap/>
            <w:vAlign w:val="bottom"/>
            <w:hideMark/>
          </w:tcPr>
          <w:p w14:paraId="1DF4A2F8" w14:textId="77777777" w:rsidR="008A1281" w:rsidRPr="00EA28CB" w:rsidRDefault="008A1281" w:rsidP="004320C0">
            <w:pPr>
              <w:spacing w:after="0" w:line="240" w:lineRule="auto"/>
            </w:pPr>
            <w:r w:rsidRPr="00EA28CB">
              <w:t>Drug misuse</w:t>
            </w:r>
          </w:p>
        </w:tc>
        <w:tc>
          <w:tcPr>
            <w:tcW w:w="1226" w:type="dxa"/>
            <w:tcBorders>
              <w:top w:val="nil"/>
              <w:left w:val="nil"/>
              <w:bottom w:val="nil"/>
              <w:right w:val="nil"/>
            </w:tcBorders>
            <w:shd w:val="clear" w:color="auto" w:fill="auto"/>
            <w:noWrap/>
            <w:vAlign w:val="bottom"/>
            <w:hideMark/>
          </w:tcPr>
          <w:p w14:paraId="4D1CC9C7" w14:textId="77777777" w:rsidR="008A1281" w:rsidRPr="00EA28CB" w:rsidRDefault="008A1281" w:rsidP="004320C0">
            <w:pPr>
              <w:spacing w:after="0" w:line="240" w:lineRule="auto"/>
            </w:pPr>
            <w:r w:rsidRPr="00EA28CB">
              <w:t>1.01</w:t>
            </w:r>
          </w:p>
        </w:tc>
        <w:tc>
          <w:tcPr>
            <w:tcW w:w="1276" w:type="dxa"/>
            <w:tcBorders>
              <w:top w:val="nil"/>
              <w:left w:val="nil"/>
              <w:bottom w:val="nil"/>
              <w:right w:val="nil"/>
            </w:tcBorders>
            <w:shd w:val="clear" w:color="auto" w:fill="auto"/>
            <w:noWrap/>
            <w:vAlign w:val="bottom"/>
            <w:hideMark/>
          </w:tcPr>
          <w:p w14:paraId="6475AE48" w14:textId="77777777" w:rsidR="008A1281" w:rsidRPr="00EA28CB" w:rsidRDefault="008A1281" w:rsidP="004320C0">
            <w:pPr>
              <w:spacing w:after="0" w:line="240" w:lineRule="auto"/>
            </w:pPr>
            <w:r w:rsidRPr="00EA28CB">
              <w:t>0.29</w:t>
            </w:r>
          </w:p>
        </w:tc>
        <w:tc>
          <w:tcPr>
            <w:tcW w:w="1376" w:type="dxa"/>
            <w:tcBorders>
              <w:top w:val="nil"/>
              <w:left w:val="nil"/>
              <w:bottom w:val="nil"/>
              <w:right w:val="nil"/>
            </w:tcBorders>
            <w:shd w:val="clear" w:color="auto" w:fill="auto"/>
            <w:noWrap/>
            <w:vAlign w:val="bottom"/>
            <w:hideMark/>
          </w:tcPr>
          <w:p w14:paraId="11ABFBF1" w14:textId="77777777" w:rsidR="008A1281" w:rsidRPr="00EA28CB" w:rsidRDefault="008A1281" w:rsidP="004320C0">
            <w:pPr>
              <w:spacing w:after="0" w:line="240" w:lineRule="auto"/>
            </w:pPr>
            <w:r w:rsidRPr="00EA28CB">
              <w:t>0.72</w:t>
            </w:r>
          </w:p>
        </w:tc>
        <w:tc>
          <w:tcPr>
            <w:tcW w:w="1557" w:type="dxa"/>
            <w:tcBorders>
              <w:top w:val="nil"/>
              <w:left w:val="nil"/>
              <w:bottom w:val="nil"/>
              <w:right w:val="nil"/>
            </w:tcBorders>
            <w:shd w:val="clear" w:color="auto" w:fill="auto"/>
            <w:noWrap/>
            <w:vAlign w:val="bottom"/>
            <w:hideMark/>
          </w:tcPr>
          <w:p w14:paraId="0DED02BA" w14:textId="77777777" w:rsidR="008A1281" w:rsidRPr="00EA28CB" w:rsidRDefault="008A1281" w:rsidP="004320C0">
            <w:pPr>
              <w:spacing w:after="0" w:line="240" w:lineRule="auto"/>
            </w:pPr>
            <w:r w:rsidRPr="00EA28CB">
              <w:t>0.09</w:t>
            </w:r>
          </w:p>
        </w:tc>
        <w:tc>
          <w:tcPr>
            <w:tcW w:w="1219" w:type="dxa"/>
            <w:tcBorders>
              <w:top w:val="nil"/>
              <w:left w:val="nil"/>
              <w:bottom w:val="nil"/>
              <w:right w:val="nil"/>
            </w:tcBorders>
            <w:shd w:val="clear" w:color="auto" w:fill="auto"/>
            <w:noWrap/>
            <w:vAlign w:val="bottom"/>
            <w:hideMark/>
          </w:tcPr>
          <w:p w14:paraId="588E598F" w14:textId="77777777" w:rsidR="008A1281" w:rsidRPr="00EA28CB" w:rsidRDefault="008A1281" w:rsidP="004320C0">
            <w:pPr>
              <w:spacing w:after="0" w:line="240" w:lineRule="auto"/>
            </w:pPr>
            <w:r w:rsidRPr="00EA28CB">
              <w:t>-0.29</w:t>
            </w:r>
          </w:p>
        </w:tc>
        <w:tc>
          <w:tcPr>
            <w:tcW w:w="1219" w:type="dxa"/>
            <w:tcBorders>
              <w:top w:val="nil"/>
              <w:left w:val="nil"/>
              <w:bottom w:val="nil"/>
              <w:right w:val="nil"/>
            </w:tcBorders>
            <w:shd w:val="clear" w:color="auto" w:fill="auto"/>
            <w:noWrap/>
            <w:vAlign w:val="bottom"/>
            <w:hideMark/>
          </w:tcPr>
          <w:p w14:paraId="680EA16F" w14:textId="1F03C060" w:rsidR="008A1281" w:rsidRPr="00EA28CB" w:rsidRDefault="008A1281" w:rsidP="004320C0">
            <w:pPr>
              <w:spacing w:after="0" w:line="240" w:lineRule="auto"/>
            </w:pPr>
            <w:r w:rsidRPr="00EA28CB">
              <w:t>-0.2</w:t>
            </w:r>
            <w:r w:rsidR="004D5992">
              <w:t>0</w:t>
            </w:r>
          </w:p>
        </w:tc>
      </w:tr>
      <w:tr w:rsidR="008A1281" w:rsidRPr="00127E34" w14:paraId="3F277F01" w14:textId="77777777" w:rsidTr="006A68F1">
        <w:trPr>
          <w:trHeight w:val="300"/>
        </w:trPr>
        <w:tc>
          <w:tcPr>
            <w:tcW w:w="1751" w:type="dxa"/>
            <w:tcBorders>
              <w:top w:val="nil"/>
              <w:left w:val="nil"/>
              <w:bottom w:val="nil"/>
              <w:right w:val="nil"/>
            </w:tcBorders>
            <w:shd w:val="clear" w:color="auto" w:fill="auto"/>
            <w:noWrap/>
            <w:vAlign w:val="bottom"/>
            <w:hideMark/>
          </w:tcPr>
          <w:p w14:paraId="74D26EB2" w14:textId="77777777" w:rsidR="008A1281" w:rsidRPr="00EA28CB" w:rsidRDefault="008A1281" w:rsidP="004320C0">
            <w:pPr>
              <w:spacing w:after="0" w:line="240" w:lineRule="auto"/>
            </w:pPr>
            <w:r w:rsidRPr="00EA28CB">
              <w:t>Loss of enjoyment</w:t>
            </w:r>
          </w:p>
        </w:tc>
        <w:tc>
          <w:tcPr>
            <w:tcW w:w="1226" w:type="dxa"/>
            <w:tcBorders>
              <w:top w:val="nil"/>
              <w:left w:val="nil"/>
              <w:bottom w:val="nil"/>
              <w:right w:val="nil"/>
            </w:tcBorders>
            <w:shd w:val="clear" w:color="auto" w:fill="auto"/>
            <w:noWrap/>
            <w:vAlign w:val="bottom"/>
            <w:hideMark/>
          </w:tcPr>
          <w:p w14:paraId="47ED881E" w14:textId="77777777" w:rsidR="008A1281" w:rsidRPr="00EA28CB" w:rsidRDefault="008A1281" w:rsidP="004320C0">
            <w:pPr>
              <w:spacing w:after="0" w:line="240" w:lineRule="auto"/>
            </w:pPr>
            <w:r w:rsidRPr="00EA28CB">
              <w:t>0.13</w:t>
            </w:r>
          </w:p>
        </w:tc>
        <w:tc>
          <w:tcPr>
            <w:tcW w:w="1276" w:type="dxa"/>
            <w:tcBorders>
              <w:top w:val="nil"/>
              <w:left w:val="nil"/>
              <w:bottom w:val="nil"/>
              <w:right w:val="nil"/>
            </w:tcBorders>
            <w:shd w:val="clear" w:color="auto" w:fill="auto"/>
            <w:noWrap/>
            <w:vAlign w:val="bottom"/>
            <w:hideMark/>
          </w:tcPr>
          <w:p w14:paraId="7E8BBEA3" w14:textId="77777777" w:rsidR="008A1281" w:rsidRPr="00EA28CB" w:rsidRDefault="008A1281" w:rsidP="004320C0">
            <w:pPr>
              <w:spacing w:after="0" w:line="240" w:lineRule="auto"/>
            </w:pPr>
            <w:r w:rsidRPr="00EA28CB">
              <w:t>0.05</w:t>
            </w:r>
          </w:p>
        </w:tc>
        <w:tc>
          <w:tcPr>
            <w:tcW w:w="1376" w:type="dxa"/>
            <w:tcBorders>
              <w:top w:val="nil"/>
              <w:left w:val="nil"/>
              <w:bottom w:val="nil"/>
              <w:right w:val="nil"/>
            </w:tcBorders>
            <w:shd w:val="clear" w:color="auto" w:fill="auto"/>
            <w:noWrap/>
            <w:vAlign w:val="bottom"/>
            <w:hideMark/>
          </w:tcPr>
          <w:p w14:paraId="521D67F4" w14:textId="77777777" w:rsidR="008A1281" w:rsidRPr="00EA28CB" w:rsidRDefault="008A1281" w:rsidP="004320C0">
            <w:pPr>
              <w:spacing w:after="0" w:line="240" w:lineRule="auto"/>
            </w:pPr>
            <w:r w:rsidRPr="00EA28CB">
              <w:t>1.19</w:t>
            </w:r>
          </w:p>
        </w:tc>
        <w:tc>
          <w:tcPr>
            <w:tcW w:w="1557" w:type="dxa"/>
            <w:tcBorders>
              <w:top w:val="nil"/>
              <w:left w:val="nil"/>
              <w:bottom w:val="nil"/>
              <w:right w:val="nil"/>
            </w:tcBorders>
            <w:shd w:val="clear" w:color="auto" w:fill="auto"/>
            <w:noWrap/>
            <w:vAlign w:val="bottom"/>
            <w:hideMark/>
          </w:tcPr>
          <w:p w14:paraId="4D29D57B"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58EFA15B" w14:textId="77777777" w:rsidR="008A1281" w:rsidRPr="00EA28CB" w:rsidRDefault="008A1281" w:rsidP="004320C0">
            <w:pPr>
              <w:spacing w:after="0" w:line="240" w:lineRule="auto"/>
            </w:pPr>
            <w:r w:rsidRPr="00EA28CB">
              <w:t>1.05</w:t>
            </w:r>
          </w:p>
        </w:tc>
        <w:tc>
          <w:tcPr>
            <w:tcW w:w="1219" w:type="dxa"/>
            <w:tcBorders>
              <w:top w:val="nil"/>
              <w:left w:val="nil"/>
              <w:bottom w:val="nil"/>
              <w:right w:val="nil"/>
            </w:tcBorders>
            <w:shd w:val="clear" w:color="auto" w:fill="auto"/>
            <w:noWrap/>
            <w:vAlign w:val="bottom"/>
            <w:hideMark/>
          </w:tcPr>
          <w:p w14:paraId="7C0DF972" w14:textId="77777777" w:rsidR="008A1281" w:rsidRPr="00EA28CB" w:rsidRDefault="008A1281" w:rsidP="004320C0">
            <w:pPr>
              <w:spacing w:after="0" w:line="240" w:lineRule="auto"/>
            </w:pPr>
            <w:r w:rsidRPr="00EA28CB">
              <w:t>-0.04</w:t>
            </w:r>
          </w:p>
        </w:tc>
      </w:tr>
      <w:tr w:rsidR="008A1281" w:rsidRPr="00127E34" w14:paraId="158D1F22" w14:textId="77777777" w:rsidTr="006A68F1">
        <w:trPr>
          <w:trHeight w:val="300"/>
        </w:trPr>
        <w:tc>
          <w:tcPr>
            <w:tcW w:w="1751" w:type="dxa"/>
            <w:tcBorders>
              <w:top w:val="nil"/>
              <w:left w:val="nil"/>
              <w:bottom w:val="nil"/>
              <w:right w:val="nil"/>
            </w:tcBorders>
            <w:shd w:val="clear" w:color="auto" w:fill="auto"/>
            <w:noWrap/>
            <w:vAlign w:val="bottom"/>
            <w:hideMark/>
          </w:tcPr>
          <w:p w14:paraId="6940151D" w14:textId="77777777" w:rsidR="008A1281" w:rsidRPr="00EA28CB" w:rsidRDefault="008A1281" w:rsidP="004320C0">
            <w:pPr>
              <w:spacing w:after="0" w:line="240" w:lineRule="auto"/>
            </w:pPr>
            <w:r w:rsidRPr="00EA28CB">
              <w:t>Low mood</w:t>
            </w:r>
          </w:p>
        </w:tc>
        <w:tc>
          <w:tcPr>
            <w:tcW w:w="1226" w:type="dxa"/>
            <w:tcBorders>
              <w:top w:val="nil"/>
              <w:left w:val="nil"/>
              <w:bottom w:val="nil"/>
              <w:right w:val="nil"/>
            </w:tcBorders>
            <w:shd w:val="clear" w:color="auto" w:fill="auto"/>
            <w:noWrap/>
            <w:vAlign w:val="bottom"/>
            <w:hideMark/>
          </w:tcPr>
          <w:p w14:paraId="5A76EBE0" w14:textId="178AD866" w:rsidR="008A1281" w:rsidRPr="00EA28CB" w:rsidRDefault="008A1281" w:rsidP="004320C0">
            <w:pPr>
              <w:spacing w:after="0" w:line="240" w:lineRule="auto"/>
            </w:pPr>
            <w:r w:rsidRPr="00EA28CB">
              <w:t>5.9</w:t>
            </w:r>
            <w:r w:rsidR="00B25D8B">
              <w:t>0</w:t>
            </w:r>
          </w:p>
        </w:tc>
        <w:tc>
          <w:tcPr>
            <w:tcW w:w="1276" w:type="dxa"/>
            <w:tcBorders>
              <w:top w:val="nil"/>
              <w:left w:val="nil"/>
              <w:bottom w:val="nil"/>
              <w:right w:val="nil"/>
            </w:tcBorders>
            <w:shd w:val="clear" w:color="auto" w:fill="auto"/>
            <w:noWrap/>
            <w:vAlign w:val="bottom"/>
            <w:hideMark/>
          </w:tcPr>
          <w:p w14:paraId="1F43D142" w14:textId="77777777" w:rsidR="008A1281" w:rsidRPr="00EA28CB" w:rsidRDefault="008A1281" w:rsidP="004320C0">
            <w:pPr>
              <w:spacing w:after="0" w:line="240" w:lineRule="auto"/>
            </w:pPr>
            <w:r w:rsidRPr="00EA28CB">
              <w:t>0.84</w:t>
            </w:r>
          </w:p>
        </w:tc>
        <w:tc>
          <w:tcPr>
            <w:tcW w:w="1376" w:type="dxa"/>
            <w:tcBorders>
              <w:top w:val="nil"/>
              <w:left w:val="nil"/>
              <w:bottom w:val="nil"/>
              <w:right w:val="nil"/>
            </w:tcBorders>
            <w:shd w:val="clear" w:color="auto" w:fill="auto"/>
            <w:noWrap/>
            <w:vAlign w:val="bottom"/>
            <w:hideMark/>
          </w:tcPr>
          <w:p w14:paraId="07BFA580" w14:textId="77777777" w:rsidR="008A1281" w:rsidRPr="00EA28CB" w:rsidRDefault="008A1281" w:rsidP="004320C0">
            <w:pPr>
              <w:spacing w:after="0" w:line="240" w:lineRule="auto"/>
            </w:pPr>
            <w:r w:rsidRPr="00EA28CB">
              <w:t>25.73</w:t>
            </w:r>
          </w:p>
        </w:tc>
        <w:tc>
          <w:tcPr>
            <w:tcW w:w="1557" w:type="dxa"/>
            <w:tcBorders>
              <w:top w:val="nil"/>
              <w:left w:val="nil"/>
              <w:bottom w:val="nil"/>
              <w:right w:val="nil"/>
            </w:tcBorders>
            <w:shd w:val="clear" w:color="auto" w:fill="auto"/>
            <w:noWrap/>
            <w:vAlign w:val="bottom"/>
            <w:hideMark/>
          </w:tcPr>
          <w:p w14:paraId="5E3CCEC7" w14:textId="77777777" w:rsidR="008A1281" w:rsidRPr="00EA28CB" w:rsidRDefault="008A1281" w:rsidP="004320C0">
            <w:pPr>
              <w:spacing w:after="0" w:line="240" w:lineRule="auto"/>
            </w:pPr>
            <w:r w:rsidRPr="00EA28CB">
              <w:t>0.77</w:t>
            </w:r>
          </w:p>
        </w:tc>
        <w:tc>
          <w:tcPr>
            <w:tcW w:w="1219" w:type="dxa"/>
            <w:tcBorders>
              <w:top w:val="nil"/>
              <w:left w:val="nil"/>
              <w:bottom w:val="nil"/>
              <w:right w:val="nil"/>
            </w:tcBorders>
            <w:shd w:val="clear" w:color="auto" w:fill="auto"/>
            <w:noWrap/>
            <w:vAlign w:val="bottom"/>
            <w:hideMark/>
          </w:tcPr>
          <w:p w14:paraId="5DD599BC" w14:textId="77777777" w:rsidR="008A1281" w:rsidRPr="00EA28CB" w:rsidRDefault="008A1281" w:rsidP="004320C0">
            <w:pPr>
              <w:spacing w:after="0" w:line="240" w:lineRule="auto"/>
            </w:pPr>
            <w:r w:rsidRPr="00EA28CB">
              <w:t>19.83</w:t>
            </w:r>
          </w:p>
        </w:tc>
        <w:tc>
          <w:tcPr>
            <w:tcW w:w="1219" w:type="dxa"/>
            <w:tcBorders>
              <w:top w:val="nil"/>
              <w:left w:val="nil"/>
              <w:bottom w:val="nil"/>
              <w:right w:val="nil"/>
            </w:tcBorders>
            <w:shd w:val="clear" w:color="auto" w:fill="auto"/>
            <w:noWrap/>
            <w:vAlign w:val="bottom"/>
            <w:hideMark/>
          </w:tcPr>
          <w:p w14:paraId="66779B49" w14:textId="77777777" w:rsidR="008A1281" w:rsidRPr="00EA28CB" w:rsidRDefault="008A1281" w:rsidP="004320C0">
            <w:pPr>
              <w:spacing w:after="0" w:line="240" w:lineRule="auto"/>
            </w:pPr>
            <w:r w:rsidRPr="00EA28CB">
              <w:t>-0.07</w:t>
            </w:r>
          </w:p>
        </w:tc>
      </w:tr>
      <w:tr w:rsidR="008A1281" w:rsidRPr="00127E34" w14:paraId="4060DFC2" w14:textId="77777777" w:rsidTr="006A68F1">
        <w:trPr>
          <w:trHeight w:val="300"/>
        </w:trPr>
        <w:tc>
          <w:tcPr>
            <w:tcW w:w="1751" w:type="dxa"/>
            <w:tcBorders>
              <w:top w:val="nil"/>
              <w:left w:val="nil"/>
              <w:bottom w:val="nil"/>
              <w:right w:val="nil"/>
            </w:tcBorders>
            <w:shd w:val="clear" w:color="auto" w:fill="auto"/>
            <w:noWrap/>
            <w:vAlign w:val="bottom"/>
            <w:hideMark/>
          </w:tcPr>
          <w:p w14:paraId="61F00622" w14:textId="77777777" w:rsidR="008A1281" w:rsidRPr="00EA28CB" w:rsidRDefault="008A1281" w:rsidP="004320C0">
            <w:pPr>
              <w:spacing w:after="0" w:line="240" w:lineRule="auto"/>
            </w:pPr>
            <w:r w:rsidRPr="00EA28CB">
              <w:t>Missed immunization</w:t>
            </w:r>
          </w:p>
        </w:tc>
        <w:tc>
          <w:tcPr>
            <w:tcW w:w="1226" w:type="dxa"/>
            <w:tcBorders>
              <w:top w:val="nil"/>
              <w:left w:val="nil"/>
              <w:bottom w:val="nil"/>
              <w:right w:val="nil"/>
            </w:tcBorders>
            <w:shd w:val="clear" w:color="auto" w:fill="auto"/>
            <w:noWrap/>
            <w:vAlign w:val="bottom"/>
            <w:hideMark/>
          </w:tcPr>
          <w:p w14:paraId="50283BB0" w14:textId="77777777" w:rsidR="008A1281" w:rsidRPr="00EA28CB" w:rsidRDefault="008A1281" w:rsidP="004320C0">
            <w:pPr>
              <w:spacing w:after="0" w:line="240" w:lineRule="auto"/>
            </w:pPr>
            <w:r w:rsidRPr="00EA28CB">
              <w:t>0.67</w:t>
            </w:r>
          </w:p>
        </w:tc>
        <w:tc>
          <w:tcPr>
            <w:tcW w:w="1276" w:type="dxa"/>
            <w:tcBorders>
              <w:top w:val="nil"/>
              <w:left w:val="nil"/>
              <w:bottom w:val="nil"/>
              <w:right w:val="nil"/>
            </w:tcBorders>
            <w:shd w:val="clear" w:color="auto" w:fill="auto"/>
            <w:noWrap/>
            <w:vAlign w:val="bottom"/>
            <w:hideMark/>
          </w:tcPr>
          <w:p w14:paraId="3286BA03" w14:textId="77777777" w:rsidR="008A1281" w:rsidRPr="00EA28CB" w:rsidRDefault="008A1281" w:rsidP="004320C0">
            <w:pPr>
              <w:spacing w:after="0" w:line="240" w:lineRule="auto"/>
            </w:pPr>
            <w:r w:rsidRPr="00EA28CB">
              <w:t>0.57</w:t>
            </w:r>
          </w:p>
        </w:tc>
        <w:tc>
          <w:tcPr>
            <w:tcW w:w="1376" w:type="dxa"/>
            <w:tcBorders>
              <w:top w:val="nil"/>
              <w:left w:val="nil"/>
              <w:bottom w:val="nil"/>
              <w:right w:val="nil"/>
            </w:tcBorders>
            <w:shd w:val="clear" w:color="auto" w:fill="auto"/>
            <w:noWrap/>
            <w:vAlign w:val="bottom"/>
            <w:hideMark/>
          </w:tcPr>
          <w:p w14:paraId="759ACE38" w14:textId="77777777" w:rsidR="008A1281" w:rsidRPr="00EA28CB" w:rsidRDefault="008A1281" w:rsidP="004320C0">
            <w:pPr>
              <w:spacing w:after="0" w:line="240" w:lineRule="auto"/>
            </w:pPr>
            <w:r w:rsidRPr="00EA28CB">
              <w:t>2.26</w:t>
            </w:r>
          </w:p>
        </w:tc>
        <w:tc>
          <w:tcPr>
            <w:tcW w:w="1557" w:type="dxa"/>
            <w:tcBorders>
              <w:top w:val="nil"/>
              <w:left w:val="nil"/>
              <w:bottom w:val="nil"/>
              <w:right w:val="nil"/>
            </w:tcBorders>
            <w:shd w:val="clear" w:color="auto" w:fill="auto"/>
            <w:noWrap/>
            <w:vAlign w:val="bottom"/>
            <w:hideMark/>
          </w:tcPr>
          <w:p w14:paraId="4EE61EF9" w14:textId="77777777" w:rsidR="008A1281" w:rsidRPr="00EA28CB" w:rsidRDefault="008A1281" w:rsidP="004320C0">
            <w:pPr>
              <w:spacing w:after="0" w:line="240" w:lineRule="auto"/>
            </w:pPr>
            <w:r w:rsidRPr="00EA28CB">
              <w:t>1.85</w:t>
            </w:r>
          </w:p>
        </w:tc>
        <w:tc>
          <w:tcPr>
            <w:tcW w:w="1219" w:type="dxa"/>
            <w:tcBorders>
              <w:top w:val="nil"/>
              <w:left w:val="nil"/>
              <w:bottom w:val="nil"/>
              <w:right w:val="nil"/>
            </w:tcBorders>
            <w:shd w:val="clear" w:color="auto" w:fill="auto"/>
            <w:noWrap/>
            <w:vAlign w:val="bottom"/>
            <w:hideMark/>
          </w:tcPr>
          <w:p w14:paraId="6D3F0E32" w14:textId="77777777" w:rsidR="008A1281" w:rsidRPr="00EA28CB" w:rsidRDefault="008A1281" w:rsidP="004320C0">
            <w:pPr>
              <w:spacing w:after="0" w:line="240" w:lineRule="auto"/>
            </w:pPr>
            <w:r w:rsidRPr="00EA28CB">
              <w:t>1.59</w:t>
            </w:r>
          </w:p>
        </w:tc>
        <w:tc>
          <w:tcPr>
            <w:tcW w:w="1219" w:type="dxa"/>
            <w:tcBorders>
              <w:top w:val="nil"/>
              <w:left w:val="nil"/>
              <w:bottom w:val="nil"/>
              <w:right w:val="nil"/>
            </w:tcBorders>
            <w:shd w:val="clear" w:color="auto" w:fill="auto"/>
            <w:noWrap/>
            <w:vAlign w:val="bottom"/>
            <w:hideMark/>
          </w:tcPr>
          <w:p w14:paraId="271088E7" w14:textId="77777777" w:rsidR="008A1281" w:rsidRPr="00EA28CB" w:rsidRDefault="008A1281" w:rsidP="004320C0">
            <w:pPr>
              <w:spacing w:after="0" w:line="240" w:lineRule="auto"/>
            </w:pPr>
            <w:r w:rsidRPr="00EA28CB">
              <w:t>1.28</w:t>
            </w:r>
          </w:p>
        </w:tc>
      </w:tr>
      <w:tr w:rsidR="008A1281" w:rsidRPr="00127E34" w14:paraId="70380D4D" w14:textId="77777777" w:rsidTr="006A68F1">
        <w:trPr>
          <w:trHeight w:val="300"/>
        </w:trPr>
        <w:tc>
          <w:tcPr>
            <w:tcW w:w="1751" w:type="dxa"/>
            <w:tcBorders>
              <w:top w:val="nil"/>
              <w:left w:val="nil"/>
              <w:bottom w:val="nil"/>
              <w:right w:val="nil"/>
            </w:tcBorders>
            <w:shd w:val="clear" w:color="auto" w:fill="auto"/>
            <w:noWrap/>
            <w:vAlign w:val="bottom"/>
            <w:hideMark/>
          </w:tcPr>
          <w:p w14:paraId="5F74E726" w14:textId="77777777" w:rsidR="008A1281" w:rsidRPr="00EA28CB" w:rsidRDefault="008A1281" w:rsidP="004320C0">
            <w:pPr>
              <w:spacing w:after="0" w:line="240" w:lineRule="auto"/>
            </w:pPr>
            <w:r w:rsidRPr="00EA28CB">
              <w:t>Neonatal</w:t>
            </w:r>
          </w:p>
        </w:tc>
        <w:tc>
          <w:tcPr>
            <w:tcW w:w="1226" w:type="dxa"/>
            <w:tcBorders>
              <w:top w:val="nil"/>
              <w:left w:val="nil"/>
              <w:bottom w:val="nil"/>
              <w:right w:val="nil"/>
            </w:tcBorders>
            <w:shd w:val="clear" w:color="auto" w:fill="auto"/>
            <w:noWrap/>
            <w:vAlign w:val="bottom"/>
            <w:hideMark/>
          </w:tcPr>
          <w:p w14:paraId="22D47632" w14:textId="77777777" w:rsidR="008A1281" w:rsidRPr="00EA28CB" w:rsidRDefault="008A1281" w:rsidP="004320C0">
            <w:pPr>
              <w:spacing w:after="0" w:line="240" w:lineRule="auto"/>
            </w:pPr>
            <w:r w:rsidRPr="00EA28CB">
              <w:t>8.77</w:t>
            </w:r>
          </w:p>
        </w:tc>
        <w:tc>
          <w:tcPr>
            <w:tcW w:w="1276" w:type="dxa"/>
            <w:tcBorders>
              <w:top w:val="nil"/>
              <w:left w:val="nil"/>
              <w:bottom w:val="nil"/>
              <w:right w:val="nil"/>
            </w:tcBorders>
            <w:shd w:val="clear" w:color="auto" w:fill="auto"/>
            <w:noWrap/>
            <w:vAlign w:val="bottom"/>
            <w:hideMark/>
          </w:tcPr>
          <w:p w14:paraId="4BC72A64" w14:textId="77777777" w:rsidR="008A1281" w:rsidRPr="00EA28CB" w:rsidRDefault="008A1281" w:rsidP="004320C0">
            <w:pPr>
              <w:spacing w:after="0" w:line="240" w:lineRule="auto"/>
            </w:pPr>
            <w:r w:rsidRPr="00EA28CB">
              <w:t>7.62</w:t>
            </w:r>
          </w:p>
        </w:tc>
        <w:tc>
          <w:tcPr>
            <w:tcW w:w="1376" w:type="dxa"/>
            <w:tcBorders>
              <w:top w:val="nil"/>
              <w:left w:val="nil"/>
              <w:bottom w:val="nil"/>
              <w:right w:val="nil"/>
            </w:tcBorders>
            <w:shd w:val="clear" w:color="auto" w:fill="auto"/>
            <w:noWrap/>
            <w:vAlign w:val="bottom"/>
            <w:hideMark/>
          </w:tcPr>
          <w:p w14:paraId="32B20A15" w14:textId="77777777" w:rsidR="008A1281" w:rsidRPr="00EA28CB" w:rsidRDefault="008A1281" w:rsidP="004320C0">
            <w:pPr>
              <w:spacing w:after="0" w:line="240" w:lineRule="auto"/>
            </w:pPr>
            <w:r w:rsidRPr="00EA28CB">
              <w:t>10.38</w:t>
            </w:r>
          </w:p>
        </w:tc>
        <w:tc>
          <w:tcPr>
            <w:tcW w:w="1557" w:type="dxa"/>
            <w:tcBorders>
              <w:top w:val="nil"/>
              <w:left w:val="nil"/>
              <w:bottom w:val="nil"/>
              <w:right w:val="nil"/>
            </w:tcBorders>
            <w:shd w:val="clear" w:color="auto" w:fill="auto"/>
            <w:noWrap/>
            <w:vAlign w:val="bottom"/>
            <w:hideMark/>
          </w:tcPr>
          <w:p w14:paraId="7339939A" w14:textId="77777777" w:rsidR="008A1281" w:rsidRPr="00EA28CB" w:rsidRDefault="008A1281" w:rsidP="004320C0">
            <w:pPr>
              <w:spacing w:after="0" w:line="240" w:lineRule="auto"/>
            </w:pPr>
            <w:r w:rsidRPr="00EA28CB">
              <w:t>8.46</w:t>
            </w:r>
          </w:p>
        </w:tc>
        <w:tc>
          <w:tcPr>
            <w:tcW w:w="1219" w:type="dxa"/>
            <w:tcBorders>
              <w:top w:val="nil"/>
              <w:left w:val="nil"/>
              <w:bottom w:val="nil"/>
              <w:right w:val="nil"/>
            </w:tcBorders>
            <w:shd w:val="clear" w:color="auto" w:fill="auto"/>
            <w:noWrap/>
            <w:vAlign w:val="bottom"/>
            <w:hideMark/>
          </w:tcPr>
          <w:p w14:paraId="02E08232" w14:textId="77777777" w:rsidR="008A1281" w:rsidRPr="00EA28CB" w:rsidRDefault="008A1281" w:rsidP="004320C0">
            <w:pPr>
              <w:spacing w:after="0" w:line="240" w:lineRule="auto"/>
            </w:pPr>
            <w:r w:rsidRPr="00EA28CB">
              <w:t>1.61</w:t>
            </w:r>
          </w:p>
        </w:tc>
        <w:tc>
          <w:tcPr>
            <w:tcW w:w="1219" w:type="dxa"/>
            <w:tcBorders>
              <w:top w:val="nil"/>
              <w:left w:val="nil"/>
              <w:bottom w:val="nil"/>
              <w:right w:val="nil"/>
            </w:tcBorders>
            <w:shd w:val="clear" w:color="auto" w:fill="auto"/>
            <w:noWrap/>
            <w:vAlign w:val="bottom"/>
            <w:hideMark/>
          </w:tcPr>
          <w:p w14:paraId="79EF6664" w14:textId="77777777" w:rsidR="008A1281" w:rsidRPr="00EA28CB" w:rsidRDefault="008A1281" w:rsidP="004320C0">
            <w:pPr>
              <w:spacing w:after="0" w:line="240" w:lineRule="auto"/>
            </w:pPr>
            <w:r w:rsidRPr="00EA28CB">
              <w:t>0.84</w:t>
            </w:r>
          </w:p>
        </w:tc>
      </w:tr>
      <w:tr w:rsidR="008A1281" w:rsidRPr="00127E34" w14:paraId="3AD22719" w14:textId="77777777" w:rsidTr="006A68F1">
        <w:trPr>
          <w:trHeight w:val="300"/>
        </w:trPr>
        <w:tc>
          <w:tcPr>
            <w:tcW w:w="1751" w:type="dxa"/>
            <w:tcBorders>
              <w:top w:val="nil"/>
              <w:left w:val="nil"/>
              <w:bottom w:val="nil"/>
              <w:right w:val="nil"/>
            </w:tcBorders>
            <w:shd w:val="clear" w:color="auto" w:fill="auto"/>
            <w:noWrap/>
            <w:vAlign w:val="bottom"/>
            <w:hideMark/>
          </w:tcPr>
          <w:p w14:paraId="3163475F" w14:textId="77777777" w:rsidR="008A1281" w:rsidRPr="00EA28CB" w:rsidRDefault="008A1281" w:rsidP="004320C0">
            <w:pPr>
              <w:spacing w:after="0" w:line="240" w:lineRule="auto"/>
            </w:pPr>
            <w:r w:rsidRPr="00EA28CB">
              <w:t>Non accidental injuries</w:t>
            </w:r>
          </w:p>
        </w:tc>
        <w:tc>
          <w:tcPr>
            <w:tcW w:w="1226" w:type="dxa"/>
            <w:tcBorders>
              <w:top w:val="nil"/>
              <w:left w:val="nil"/>
              <w:bottom w:val="nil"/>
              <w:right w:val="nil"/>
            </w:tcBorders>
            <w:shd w:val="clear" w:color="auto" w:fill="auto"/>
            <w:noWrap/>
            <w:vAlign w:val="bottom"/>
            <w:hideMark/>
          </w:tcPr>
          <w:p w14:paraId="48B5DFDA" w14:textId="77777777" w:rsidR="008A1281" w:rsidRPr="00EA28CB" w:rsidRDefault="008A1281" w:rsidP="004320C0">
            <w:pPr>
              <w:spacing w:after="0" w:line="240" w:lineRule="auto"/>
            </w:pPr>
            <w:r w:rsidRPr="00EA28CB">
              <w:t>1.86</w:t>
            </w:r>
          </w:p>
        </w:tc>
        <w:tc>
          <w:tcPr>
            <w:tcW w:w="1276" w:type="dxa"/>
            <w:tcBorders>
              <w:top w:val="nil"/>
              <w:left w:val="nil"/>
              <w:bottom w:val="nil"/>
              <w:right w:val="nil"/>
            </w:tcBorders>
            <w:shd w:val="clear" w:color="auto" w:fill="auto"/>
            <w:noWrap/>
            <w:vAlign w:val="bottom"/>
            <w:hideMark/>
          </w:tcPr>
          <w:p w14:paraId="04598DF5" w14:textId="77777777" w:rsidR="008A1281" w:rsidRPr="00EA28CB" w:rsidRDefault="008A1281" w:rsidP="004320C0">
            <w:pPr>
              <w:spacing w:after="0" w:line="240" w:lineRule="auto"/>
            </w:pPr>
            <w:r w:rsidRPr="00EA28CB">
              <w:t>0.73</w:t>
            </w:r>
          </w:p>
        </w:tc>
        <w:tc>
          <w:tcPr>
            <w:tcW w:w="1376" w:type="dxa"/>
            <w:tcBorders>
              <w:top w:val="nil"/>
              <w:left w:val="nil"/>
              <w:bottom w:val="nil"/>
              <w:right w:val="nil"/>
            </w:tcBorders>
            <w:shd w:val="clear" w:color="auto" w:fill="auto"/>
            <w:noWrap/>
            <w:vAlign w:val="bottom"/>
            <w:hideMark/>
          </w:tcPr>
          <w:p w14:paraId="7AA7A8B9" w14:textId="77777777" w:rsidR="008A1281" w:rsidRPr="00EA28CB" w:rsidRDefault="008A1281" w:rsidP="004320C0">
            <w:pPr>
              <w:spacing w:after="0" w:line="240" w:lineRule="auto"/>
            </w:pPr>
            <w:r w:rsidRPr="00EA28CB">
              <w:t>1.19</w:t>
            </w:r>
          </w:p>
        </w:tc>
        <w:tc>
          <w:tcPr>
            <w:tcW w:w="1557" w:type="dxa"/>
            <w:tcBorders>
              <w:top w:val="nil"/>
              <w:left w:val="nil"/>
              <w:bottom w:val="nil"/>
              <w:right w:val="nil"/>
            </w:tcBorders>
            <w:shd w:val="clear" w:color="auto" w:fill="auto"/>
            <w:noWrap/>
            <w:vAlign w:val="bottom"/>
            <w:hideMark/>
          </w:tcPr>
          <w:p w14:paraId="0D00AE4E" w14:textId="77777777" w:rsidR="008A1281" w:rsidRPr="00EA28CB" w:rsidRDefault="008A1281" w:rsidP="004320C0">
            <w:pPr>
              <w:spacing w:after="0" w:line="240" w:lineRule="auto"/>
            </w:pPr>
            <w:r w:rsidRPr="00EA28CB">
              <w:t>0.45</w:t>
            </w:r>
          </w:p>
        </w:tc>
        <w:tc>
          <w:tcPr>
            <w:tcW w:w="1219" w:type="dxa"/>
            <w:tcBorders>
              <w:top w:val="nil"/>
              <w:left w:val="nil"/>
              <w:bottom w:val="nil"/>
              <w:right w:val="nil"/>
            </w:tcBorders>
            <w:shd w:val="clear" w:color="auto" w:fill="auto"/>
            <w:noWrap/>
            <w:vAlign w:val="bottom"/>
            <w:hideMark/>
          </w:tcPr>
          <w:p w14:paraId="6E2BABCB" w14:textId="77777777" w:rsidR="008A1281" w:rsidRPr="00EA28CB" w:rsidRDefault="008A1281" w:rsidP="004320C0">
            <w:pPr>
              <w:spacing w:after="0" w:line="240" w:lineRule="auto"/>
            </w:pPr>
            <w:r w:rsidRPr="00EA28CB">
              <w:t>-0.66</w:t>
            </w:r>
          </w:p>
        </w:tc>
        <w:tc>
          <w:tcPr>
            <w:tcW w:w="1219" w:type="dxa"/>
            <w:tcBorders>
              <w:top w:val="nil"/>
              <w:left w:val="nil"/>
              <w:bottom w:val="nil"/>
              <w:right w:val="nil"/>
            </w:tcBorders>
            <w:shd w:val="clear" w:color="auto" w:fill="auto"/>
            <w:noWrap/>
            <w:vAlign w:val="bottom"/>
            <w:hideMark/>
          </w:tcPr>
          <w:p w14:paraId="1C6A7333" w14:textId="77777777" w:rsidR="008A1281" w:rsidRPr="00EA28CB" w:rsidRDefault="008A1281" w:rsidP="004320C0">
            <w:pPr>
              <w:spacing w:after="0" w:line="240" w:lineRule="auto"/>
            </w:pPr>
            <w:r w:rsidRPr="00EA28CB">
              <w:t>-0.28</w:t>
            </w:r>
          </w:p>
        </w:tc>
      </w:tr>
      <w:tr w:rsidR="008A1281" w:rsidRPr="00127E34" w14:paraId="4072C1F2" w14:textId="77777777" w:rsidTr="006A68F1">
        <w:trPr>
          <w:trHeight w:val="300"/>
        </w:trPr>
        <w:tc>
          <w:tcPr>
            <w:tcW w:w="1751" w:type="dxa"/>
            <w:tcBorders>
              <w:top w:val="nil"/>
              <w:left w:val="nil"/>
              <w:bottom w:val="nil"/>
              <w:right w:val="nil"/>
            </w:tcBorders>
            <w:shd w:val="clear" w:color="auto" w:fill="auto"/>
            <w:noWrap/>
            <w:vAlign w:val="bottom"/>
            <w:hideMark/>
          </w:tcPr>
          <w:p w14:paraId="2B32AD12" w14:textId="77777777" w:rsidR="008A1281" w:rsidRPr="00EA28CB" w:rsidRDefault="008A1281" w:rsidP="004320C0">
            <w:pPr>
              <w:spacing w:after="0" w:line="240" w:lineRule="auto"/>
            </w:pPr>
            <w:r w:rsidRPr="00EA28CB">
              <w:t>OCD</w:t>
            </w:r>
          </w:p>
        </w:tc>
        <w:tc>
          <w:tcPr>
            <w:tcW w:w="1226" w:type="dxa"/>
            <w:tcBorders>
              <w:top w:val="nil"/>
              <w:left w:val="nil"/>
              <w:bottom w:val="nil"/>
              <w:right w:val="nil"/>
            </w:tcBorders>
            <w:shd w:val="clear" w:color="auto" w:fill="auto"/>
            <w:noWrap/>
            <w:vAlign w:val="bottom"/>
            <w:hideMark/>
          </w:tcPr>
          <w:p w14:paraId="52264DDA" w14:textId="77777777" w:rsidR="008A1281" w:rsidRPr="00EA28CB" w:rsidRDefault="008A1281" w:rsidP="004320C0">
            <w:pPr>
              <w:spacing w:after="0" w:line="240" w:lineRule="auto"/>
            </w:pPr>
            <w:r w:rsidRPr="00EA28CB">
              <w:t>0.44</w:t>
            </w:r>
          </w:p>
        </w:tc>
        <w:tc>
          <w:tcPr>
            <w:tcW w:w="1276" w:type="dxa"/>
            <w:tcBorders>
              <w:top w:val="nil"/>
              <w:left w:val="nil"/>
              <w:bottom w:val="nil"/>
              <w:right w:val="nil"/>
            </w:tcBorders>
            <w:shd w:val="clear" w:color="auto" w:fill="auto"/>
            <w:noWrap/>
            <w:vAlign w:val="bottom"/>
            <w:hideMark/>
          </w:tcPr>
          <w:p w14:paraId="22857485" w14:textId="77777777" w:rsidR="008A1281" w:rsidRPr="00EA28CB" w:rsidRDefault="008A1281" w:rsidP="004320C0">
            <w:pPr>
              <w:spacing w:after="0" w:line="240" w:lineRule="auto"/>
            </w:pPr>
            <w:r w:rsidRPr="00EA28CB">
              <w:t>0.07</w:t>
            </w:r>
          </w:p>
        </w:tc>
        <w:tc>
          <w:tcPr>
            <w:tcW w:w="1376" w:type="dxa"/>
            <w:tcBorders>
              <w:top w:val="nil"/>
              <w:left w:val="nil"/>
              <w:bottom w:val="nil"/>
              <w:right w:val="nil"/>
            </w:tcBorders>
            <w:shd w:val="clear" w:color="auto" w:fill="auto"/>
            <w:noWrap/>
            <w:vAlign w:val="bottom"/>
            <w:hideMark/>
          </w:tcPr>
          <w:p w14:paraId="74D3E15D" w14:textId="77777777" w:rsidR="008A1281" w:rsidRPr="00EA28CB" w:rsidRDefault="008A1281" w:rsidP="004320C0">
            <w:pPr>
              <w:spacing w:after="0" w:line="240" w:lineRule="auto"/>
            </w:pPr>
            <w:r w:rsidRPr="00EA28CB">
              <w:t>0.56</w:t>
            </w:r>
          </w:p>
        </w:tc>
        <w:tc>
          <w:tcPr>
            <w:tcW w:w="1557" w:type="dxa"/>
            <w:tcBorders>
              <w:top w:val="nil"/>
              <w:left w:val="nil"/>
              <w:bottom w:val="nil"/>
              <w:right w:val="nil"/>
            </w:tcBorders>
            <w:shd w:val="clear" w:color="auto" w:fill="auto"/>
            <w:noWrap/>
            <w:vAlign w:val="bottom"/>
            <w:hideMark/>
          </w:tcPr>
          <w:p w14:paraId="7F799ED3" w14:textId="77777777" w:rsidR="008A1281" w:rsidRPr="00EA28CB" w:rsidRDefault="008A1281" w:rsidP="004320C0">
            <w:pPr>
              <w:spacing w:after="0" w:line="240" w:lineRule="auto"/>
            </w:pPr>
            <w:r w:rsidRPr="00EA28CB">
              <w:t>0.04</w:t>
            </w:r>
          </w:p>
        </w:tc>
        <w:tc>
          <w:tcPr>
            <w:tcW w:w="1219" w:type="dxa"/>
            <w:tcBorders>
              <w:top w:val="nil"/>
              <w:left w:val="nil"/>
              <w:bottom w:val="nil"/>
              <w:right w:val="nil"/>
            </w:tcBorders>
            <w:shd w:val="clear" w:color="auto" w:fill="auto"/>
            <w:noWrap/>
            <w:vAlign w:val="bottom"/>
            <w:hideMark/>
          </w:tcPr>
          <w:p w14:paraId="77CEF02C" w14:textId="77777777" w:rsidR="008A1281" w:rsidRPr="00EA28CB" w:rsidRDefault="008A1281" w:rsidP="004320C0">
            <w:pPr>
              <w:spacing w:after="0" w:line="240" w:lineRule="auto"/>
            </w:pPr>
            <w:r w:rsidRPr="00EA28CB">
              <w:t>0.11</w:t>
            </w:r>
          </w:p>
        </w:tc>
        <w:tc>
          <w:tcPr>
            <w:tcW w:w="1219" w:type="dxa"/>
            <w:tcBorders>
              <w:top w:val="nil"/>
              <w:left w:val="nil"/>
              <w:bottom w:val="nil"/>
              <w:right w:val="nil"/>
            </w:tcBorders>
            <w:shd w:val="clear" w:color="auto" w:fill="auto"/>
            <w:noWrap/>
            <w:vAlign w:val="bottom"/>
            <w:hideMark/>
          </w:tcPr>
          <w:p w14:paraId="58E0BB00" w14:textId="77777777" w:rsidR="008A1281" w:rsidRPr="00EA28CB" w:rsidRDefault="008A1281" w:rsidP="004320C0">
            <w:pPr>
              <w:spacing w:after="0" w:line="240" w:lineRule="auto"/>
            </w:pPr>
            <w:r w:rsidRPr="00EA28CB">
              <w:t>-0.03</w:t>
            </w:r>
          </w:p>
        </w:tc>
      </w:tr>
      <w:tr w:rsidR="008A1281" w:rsidRPr="00127E34" w14:paraId="6A0CE63D" w14:textId="77777777" w:rsidTr="006A68F1">
        <w:trPr>
          <w:trHeight w:val="300"/>
        </w:trPr>
        <w:tc>
          <w:tcPr>
            <w:tcW w:w="1751" w:type="dxa"/>
            <w:tcBorders>
              <w:top w:val="nil"/>
              <w:left w:val="nil"/>
              <w:bottom w:val="nil"/>
              <w:right w:val="nil"/>
            </w:tcBorders>
            <w:shd w:val="clear" w:color="auto" w:fill="auto"/>
            <w:noWrap/>
            <w:vAlign w:val="bottom"/>
            <w:hideMark/>
          </w:tcPr>
          <w:p w14:paraId="0D873DAE" w14:textId="77777777" w:rsidR="008A1281" w:rsidRPr="00EA28CB" w:rsidRDefault="008A1281" w:rsidP="004320C0">
            <w:pPr>
              <w:spacing w:after="0" w:line="240" w:lineRule="auto"/>
            </w:pPr>
            <w:r w:rsidRPr="00EA28CB">
              <w:t>Social Services Involvement</w:t>
            </w:r>
          </w:p>
        </w:tc>
        <w:tc>
          <w:tcPr>
            <w:tcW w:w="1226" w:type="dxa"/>
            <w:tcBorders>
              <w:top w:val="nil"/>
              <w:left w:val="nil"/>
              <w:bottom w:val="nil"/>
              <w:right w:val="nil"/>
            </w:tcBorders>
            <w:shd w:val="clear" w:color="auto" w:fill="auto"/>
            <w:noWrap/>
            <w:vAlign w:val="bottom"/>
            <w:hideMark/>
          </w:tcPr>
          <w:p w14:paraId="1855EABF" w14:textId="77777777" w:rsidR="008A1281" w:rsidRPr="00EA28CB" w:rsidRDefault="008A1281" w:rsidP="004320C0">
            <w:pPr>
              <w:spacing w:after="0" w:line="240" w:lineRule="auto"/>
            </w:pPr>
            <w:r w:rsidRPr="00EA28CB">
              <w:t>0.08</w:t>
            </w:r>
          </w:p>
        </w:tc>
        <w:tc>
          <w:tcPr>
            <w:tcW w:w="1276" w:type="dxa"/>
            <w:tcBorders>
              <w:top w:val="nil"/>
              <w:left w:val="nil"/>
              <w:bottom w:val="nil"/>
              <w:right w:val="nil"/>
            </w:tcBorders>
            <w:shd w:val="clear" w:color="auto" w:fill="auto"/>
            <w:noWrap/>
            <w:vAlign w:val="bottom"/>
            <w:hideMark/>
          </w:tcPr>
          <w:p w14:paraId="331B4D25" w14:textId="77777777" w:rsidR="008A1281" w:rsidRPr="00EA28CB" w:rsidRDefault="008A1281" w:rsidP="004320C0">
            <w:pPr>
              <w:spacing w:after="0" w:line="240" w:lineRule="auto"/>
            </w:pPr>
            <w:r w:rsidRPr="00EA28CB">
              <w:t>0.06</w:t>
            </w:r>
          </w:p>
        </w:tc>
        <w:tc>
          <w:tcPr>
            <w:tcW w:w="1376" w:type="dxa"/>
            <w:tcBorders>
              <w:top w:val="nil"/>
              <w:left w:val="nil"/>
              <w:bottom w:val="nil"/>
              <w:right w:val="nil"/>
            </w:tcBorders>
            <w:shd w:val="clear" w:color="auto" w:fill="auto"/>
            <w:noWrap/>
            <w:vAlign w:val="bottom"/>
            <w:hideMark/>
          </w:tcPr>
          <w:p w14:paraId="396B6147" w14:textId="105FCC22" w:rsidR="008A1281" w:rsidRPr="00EA28CB" w:rsidRDefault="008A1281" w:rsidP="004320C0">
            <w:pPr>
              <w:spacing w:after="0" w:line="240" w:lineRule="auto"/>
            </w:pPr>
            <w:r w:rsidRPr="00EA28CB">
              <w:t>0.2</w:t>
            </w:r>
            <w:r w:rsidR="004D5992">
              <w:t>0</w:t>
            </w:r>
          </w:p>
        </w:tc>
        <w:tc>
          <w:tcPr>
            <w:tcW w:w="1557" w:type="dxa"/>
            <w:tcBorders>
              <w:top w:val="nil"/>
              <w:left w:val="nil"/>
              <w:bottom w:val="nil"/>
              <w:right w:val="nil"/>
            </w:tcBorders>
            <w:shd w:val="clear" w:color="auto" w:fill="auto"/>
            <w:noWrap/>
            <w:vAlign w:val="bottom"/>
            <w:hideMark/>
          </w:tcPr>
          <w:p w14:paraId="677FBCA7" w14:textId="77777777" w:rsidR="008A1281" w:rsidRPr="00EA28CB" w:rsidRDefault="008A1281" w:rsidP="004320C0">
            <w:pPr>
              <w:spacing w:after="0" w:line="240" w:lineRule="auto"/>
            </w:pPr>
            <w:r w:rsidRPr="00EA28CB">
              <w:t>0.14</w:t>
            </w:r>
          </w:p>
        </w:tc>
        <w:tc>
          <w:tcPr>
            <w:tcW w:w="1219" w:type="dxa"/>
            <w:tcBorders>
              <w:top w:val="nil"/>
              <w:left w:val="nil"/>
              <w:bottom w:val="nil"/>
              <w:right w:val="nil"/>
            </w:tcBorders>
            <w:shd w:val="clear" w:color="auto" w:fill="auto"/>
            <w:noWrap/>
            <w:vAlign w:val="bottom"/>
            <w:hideMark/>
          </w:tcPr>
          <w:p w14:paraId="2A754709" w14:textId="77777777" w:rsidR="008A1281" w:rsidRPr="00EA28CB" w:rsidRDefault="008A1281" w:rsidP="004320C0">
            <w:pPr>
              <w:spacing w:after="0" w:line="240" w:lineRule="auto"/>
            </w:pPr>
            <w:r w:rsidRPr="00EA28CB">
              <w:t>0.12</w:t>
            </w:r>
          </w:p>
        </w:tc>
        <w:tc>
          <w:tcPr>
            <w:tcW w:w="1219" w:type="dxa"/>
            <w:tcBorders>
              <w:top w:val="nil"/>
              <w:left w:val="nil"/>
              <w:bottom w:val="nil"/>
              <w:right w:val="nil"/>
            </w:tcBorders>
            <w:shd w:val="clear" w:color="auto" w:fill="auto"/>
            <w:noWrap/>
            <w:vAlign w:val="bottom"/>
            <w:hideMark/>
          </w:tcPr>
          <w:p w14:paraId="7032DB1D" w14:textId="5D4DC50C" w:rsidR="008A1281" w:rsidRPr="00EA28CB" w:rsidRDefault="008A1281" w:rsidP="004320C0">
            <w:pPr>
              <w:spacing w:after="0" w:line="240" w:lineRule="auto"/>
            </w:pPr>
            <w:r w:rsidRPr="00EA28CB">
              <w:t>0.0</w:t>
            </w:r>
            <w:r w:rsidR="004D5992">
              <w:t>8</w:t>
            </w:r>
          </w:p>
        </w:tc>
      </w:tr>
      <w:tr w:rsidR="008A1281" w:rsidRPr="00127E34" w14:paraId="49791D25" w14:textId="77777777" w:rsidTr="006A68F1">
        <w:trPr>
          <w:trHeight w:val="300"/>
        </w:trPr>
        <w:tc>
          <w:tcPr>
            <w:tcW w:w="1751" w:type="dxa"/>
            <w:tcBorders>
              <w:top w:val="nil"/>
              <w:left w:val="nil"/>
              <w:bottom w:val="nil"/>
              <w:right w:val="nil"/>
            </w:tcBorders>
            <w:shd w:val="clear" w:color="auto" w:fill="auto"/>
            <w:noWrap/>
            <w:vAlign w:val="bottom"/>
            <w:hideMark/>
          </w:tcPr>
          <w:p w14:paraId="0BE991FF" w14:textId="77777777" w:rsidR="008A1281" w:rsidRPr="00EA28CB" w:rsidRDefault="008A1281" w:rsidP="004320C0">
            <w:pPr>
              <w:spacing w:after="0" w:line="240" w:lineRule="auto"/>
            </w:pPr>
            <w:r w:rsidRPr="00EA28CB">
              <w:t>Police involvement</w:t>
            </w:r>
          </w:p>
        </w:tc>
        <w:tc>
          <w:tcPr>
            <w:tcW w:w="1226" w:type="dxa"/>
            <w:tcBorders>
              <w:top w:val="nil"/>
              <w:left w:val="nil"/>
              <w:bottom w:val="nil"/>
              <w:right w:val="nil"/>
            </w:tcBorders>
            <w:shd w:val="clear" w:color="auto" w:fill="auto"/>
            <w:noWrap/>
            <w:vAlign w:val="bottom"/>
            <w:hideMark/>
          </w:tcPr>
          <w:p w14:paraId="1A92A354" w14:textId="77777777" w:rsidR="008A1281" w:rsidRPr="00EA28CB" w:rsidRDefault="008A1281" w:rsidP="004320C0">
            <w:pPr>
              <w:spacing w:after="0" w:line="240" w:lineRule="auto"/>
            </w:pPr>
            <w:r w:rsidRPr="00EA28CB">
              <w:t>0.05</w:t>
            </w:r>
          </w:p>
        </w:tc>
        <w:tc>
          <w:tcPr>
            <w:tcW w:w="1276" w:type="dxa"/>
            <w:tcBorders>
              <w:top w:val="nil"/>
              <w:left w:val="nil"/>
              <w:bottom w:val="nil"/>
              <w:right w:val="nil"/>
            </w:tcBorders>
            <w:shd w:val="clear" w:color="auto" w:fill="auto"/>
            <w:noWrap/>
            <w:vAlign w:val="bottom"/>
            <w:hideMark/>
          </w:tcPr>
          <w:p w14:paraId="06909021" w14:textId="77777777" w:rsidR="008A1281" w:rsidRPr="00EA28CB" w:rsidRDefault="008A1281" w:rsidP="004320C0">
            <w:pPr>
              <w:spacing w:after="0" w:line="240" w:lineRule="auto"/>
            </w:pPr>
            <w:r w:rsidRPr="00EA28CB">
              <w:t>0.02</w:t>
            </w:r>
          </w:p>
        </w:tc>
        <w:tc>
          <w:tcPr>
            <w:tcW w:w="1376" w:type="dxa"/>
            <w:tcBorders>
              <w:top w:val="nil"/>
              <w:left w:val="nil"/>
              <w:bottom w:val="nil"/>
              <w:right w:val="nil"/>
            </w:tcBorders>
            <w:shd w:val="clear" w:color="auto" w:fill="auto"/>
            <w:noWrap/>
            <w:vAlign w:val="bottom"/>
            <w:hideMark/>
          </w:tcPr>
          <w:p w14:paraId="72F607D2" w14:textId="77777777" w:rsidR="008A1281" w:rsidRPr="00EA28CB" w:rsidRDefault="008A1281" w:rsidP="004320C0">
            <w:pPr>
              <w:spacing w:after="0" w:line="240" w:lineRule="auto"/>
            </w:pPr>
            <w:r w:rsidRPr="00EA28CB">
              <w:t>0.05</w:t>
            </w:r>
          </w:p>
        </w:tc>
        <w:tc>
          <w:tcPr>
            <w:tcW w:w="1557" w:type="dxa"/>
            <w:tcBorders>
              <w:top w:val="nil"/>
              <w:left w:val="nil"/>
              <w:bottom w:val="nil"/>
              <w:right w:val="nil"/>
            </w:tcBorders>
            <w:shd w:val="clear" w:color="auto" w:fill="auto"/>
            <w:noWrap/>
            <w:vAlign w:val="bottom"/>
            <w:hideMark/>
          </w:tcPr>
          <w:p w14:paraId="6396E837"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2F577999" w14:textId="2E363CD8"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49E0A079" w14:textId="77777777" w:rsidR="008A1281" w:rsidRPr="00EA28CB" w:rsidRDefault="008A1281" w:rsidP="004320C0">
            <w:pPr>
              <w:spacing w:after="0" w:line="240" w:lineRule="auto"/>
            </w:pPr>
            <w:r w:rsidRPr="00EA28CB">
              <w:t>-0.01</w:t>
            </w:r>
          </w:p>
        </w:tc>
      </w:tr>
      <w:tr w:rsidR="008A1281" w:rsidRPr="00127E34" w14:paraId="671D8814" w14:textId="77777777" w:rsidTr="006A68F1">
        <w:trPr>
          <w:trHeight w:val="300"/>
        </w:trPr>
        <w:tc>
          <w:tcPr>
            <w:tcW w:w="1751" w:type="dxa"/>
            <w:tcBorders>
              <w:top w:val="nil"/>
              <w:left w:val="nil"/>
              <w:bottom w:val="nil"/>
              <w:right w:val="nil"/>
            </w:tcBorders>
            <w:shd w:val="clear" w:color="auto" w:fill="auto"/>
            <w:noWrap/>
            <w:vAlign w:val="bottom"/>
            <w:hideMark/>
          </w:tcPr>
          <w:p w14:paraId="465FF074" w14:textId="77777777" w:rsidR="008A1281" w:rsidRPr="00EA28CB" w:rsidRDefault="008A1281" w:rsidP="004320C0">
            <w:pPr>
              <w:spacing w:after="0" w:line="240" w:lineRule="auto"/>
            </w:pPr>
            <w:r w:rsidRPr="00EA28CB">
              <w:t>Psychosexual problems</w:t>
            </w:r>
          </w:p>
        </w:tc>
        <w:tc>
          <w:tcPr>
            <w:tcW w:w="1226" w:type="dxa"/>
            <w:tcBorders>
              <w:top w:val="nil"/>
              <w:left w:val="nil"/>
              <w:bottom w:val="nil"/>
              <w:right w:val="nil"/>
            </w:tcBorders>
            <w:shd w:val="clear" w:color="auto" w:fill="auto"/>
            <w:noWrap/>
            <w:vAlign w:val="bottom"/>
            <w:hideMark/>
          </w:tcPr>
          <w:p w14:paraId="69986E13" w14:textId="6D5578B3" w:rsidR="008A1281" w:rsidRPr="00EA28CB" w:rsidRDefault="008A1281" w:rsidP="004320C0">
            <w:pPr>
              <w:spacing w:after="0" w:line="240" w:lineRule="auto"/>
            </w:pPr>
            <w:r w:rsidRPr="00EA28CB">
              <w:t>0.3</w:t>
            </w:r>
            <w:r w:rsidR="004D5992">
              <w:t>0</w:t>
            </w:r>
          </w:p>
        </w:tc>
        <w:tc>
          <w:tcPr>
            <w:tcW w:w="1276" w:type="dxa"/>
            <w:tcBorders>
              <w:top w:val="nil"/>
              <w:left w:val="nil"/>
              <w:bottom w:val="nil"/>
              <w:right w:val="nil"/>
            </w:tcBorders>
            <w:shd w:val="clear" w:color="auto" w:fill="auto"/>
            <w:noWrap/>
            <w:vAlign w:val="bottom"/>
            <w:hideMark/>
          </w:tcPr>
          <w:p w14:paraId="17C3CA3D" w14:textId="77777777" w:rsidR="008A1281" w:rsidRPr="00EA28CB" w:rsidRDefault="008A1281" w:rsidP="004320C0">
            <w:pPr>
              <w:spacing w:after="0" w:line="240" w:lineRule="auto"/>
            </w:pPr>
            <w:r w:rsidRPr="00EA28CB">
              <w:t>0.11</w:t>
            </w:r>
          </w:p>
        </w:tc>
        <w:tc>
          <w:tcPr>
            <w:tcW w:w="1376" w:type="dxa"/>
            <w:tcBorders>
              <w:top w:val="nil"/>
              <w:left w:val="nil"/>
              <w:bottom w:val="nil"/>
              <w:right w:val="nil"/>
            </w:tcBorders>
            <w:shd w:val="clear" w:color="auto" w:fill="auto"/>
            <w:noWrap/>
            <w:vAlign w:val="bottom"/>
            <w:hideMark/>
          </w:tcPr>
          <w:p w14:paraId="4D3238E3" w14:textId="77777777" w:rsidR="008A1281" w:rsidRPr="00EA28CB" w:rsidRDefault="008A1281" w:rsidP="004320C0">
            <w:pPr>
              <w:spacing w:after="0" w:line="240" w:lineRule="auto"/>
            </w:pPr>
            <w:r w:rsidRPr="00EA28CB">
              <w:t>0.31</w:t>
            </w:r>
          </w:p>
        </w:tc>
        <w:tc>
          <w:tcPr>
            <w:tcW w:w="1557" w:type="dxa"/>
            <w:tcBorders>
              <w:top w:val="nil"/>
              <w:left w:val="nil"/>
              <w:bottom w:val="nil"/>
              <w:right w:val="nil"/>
            </w:tcBorders>
            <w:shd w:val="clear" w:color="auto" w:fill="auto"/>
            <w:noWrap/>
            <w:vAlign w:val="bottom"/>
            <w:hideMark/>
          </w:tcPr>
          <w:p w14:paraId="1ABD352F" w14:textId="77777777" w:rsidR="008A1281" w:rsidRPr="00EA28CB" w:rsidRDefault="008A1281" w:rsidP="004320C0">
            <w:pPr>
              <w:spacing w:after="0" w:line="240" w:lineRule="auto"/>
            </w:pPr>
            <w:r w:rsidRPr="00EA28CB">
              <w:t>0.06</w:t>
            </w:r>
          </w:p>
        </w:tc>
        <w:tc>
          <w:tcPr>
            <w:tcW w:w="1219" w:type="dxa"/>
            <w:tcBorders>
              <w:top w:val="nil"/>
              <w:left w:val="nil"/>
              <w:bottom w:val="nil"/>
              <w:right w:val="nil"/>
            </w:tcBorders>
            <w:shd w:val="clear" w:color="auto" w:fill="auto"/>
            <w:noWrap/>
            <w:vAlign w:val="bottom"/>
            <w:hideMark/>
          </w:tcPr>
          <w:p w14:paraId="67AE01F2"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198D91C2" w14:textId="77777777" w:rsidR="008A1281" w:rsidRPr="00EA28CB" w:rsidRDefault="008A1281" w:rsidP="004320C0">
            <w:pPr>
              <w:spacing w:after="0" w:line="240" w:lineRule="auto"/>
            </w:pPr>
            <w:r w:rsidRPr="00EA28CB">
              <w:t>-0.05</w:t>
            </w:r>
          </w:p>
        </w:tc>
      </w:tr>
      <w:tr w:rsidR="008A1281" w:rsidRPr="00127E34" w14:paraId="421D55D9" w14:textId="77777777" w:rsidTr="006A68F1">
        <w:trPr>
          <w:trHeight w:val="300"/>
        </w:trPr>
        <w:tc>
          <w:tcPr>
            <w:tcW w:w="1751" w:type="dxa"/>
            <w:tcBorders>
              <w:top w:val="nil"/>
              <w:left w:val="nil"/>
              <w:bottom w:val="nil"/>
              <w:right w:val="nil"/>
            </w:tcBorders>
            <w:shd w:val="clear" w:color="auto" w:fill="auto"/>
            <w:noWrap/>
            <w:vAlign w:val="bottom"/>
            <w:hideMark/>
          </w:tcPr>
          <w:p w14:paraId="72FA67D7" w14:textId="77777777" w:rsidR="008A1281" w:rsidRPr="00EA28CB" w:rsidRDefault="008A1281" w:rsidP="004320C0">
            <w:pPr>
              <w:spacing w:after="0" w:line="240" w:lineRule="auto"/>
            </w:pPr>
            <w:r w:rsidRPr="00EA28CB">
              <w:lastRenderedPageBreak/>
              <w:t>PTSD</w:t>
            </w:r>
          </w:p>
        </w:tc>
        <w:tc>
          <w:tcPr>
            <w:tcW w:w="1226" w:type="dxa"/>
            <w:tcBorders>
              <w:top w:val="nil"/>
              <w:left w:val="nil"/>
              <w:bottom w:val="nil"/>
              <w:right w:val="nil"/>
            </w:tcBorders>
            <w:shd w:val="clear" w:color="auto" w:fill="auto"/>
            <w:noWrap/>
            <w:vAlign w:val="bottom"/>
            <w:hideMark/>
          </w:tcPr>
          <w:p w14:paraId="0B6E979F" w14:textId="77777777" w:rsidR="008A1281" w:rsidRPr="00EA28CB" w:rsidRDefault="008A1281" w:rsidP="004320C0">
            <w:pPr>
              <w:spacing w:after="0" w:line="240" w:lineRule="auto"/>
            </w:pPr>
            <w:r w:rsidRPr="00EA28CB">
              <w:t>0.19</w:t>
            </w:r>
          </w:p>
        </w:tc>
        <w:tc>
          <w:tcPr>
            <w:tcW w:w="1276" w:type="dxa"/>
            <w:tcBorders>
              <w:top w:val="nil"/>
              <w:left w:val="nil"/>
              <w:bottom w:val="nil"/>
              <w:right w:val="nil"/>
            </w:tcBorders>
            <w:shd w:val="clear" w:color="auto" w:fill="auto"/>
            <w:noWrap/>
            <w:vAlign w:val="bottom"/>
            <w:hideMark/>
          </w:tcPr>
          <w:p w14:paraId="2CBB739F" w14:textId="77777777" w:rsidR="008A1281" w:rsidRPr="00EA28CB" w:rsidRDefault="008A1281" w:rsidP="004320C0">
            <w:pPr>
              <w:spacing w:after="0" w:line="240" w:lineRule="auto"/>
            </w:pPr>
            <w:r w:rsidRPr="00EA28CB">
              <w:t>0.04</w:t>
            </w:r>
          </w:p>
        </w:tc>
        <w:tc>
          <w:tcPr>
            <w:tcW w:w="1376" w:type="dxa"/>
            <w:tcBorders>
              <w:top w:val="nil"/>
              <w:left w:val="nil"/>
              <w:bottom w:val="nil"/>
              <w:right w:val="nil"/>
            </w:tcBorders>
            <w:shd w:val="clear" w:color="auto" w:fill="auto"/>
            <w:noWrap/>
            <w:vAlign w:val="bottom"/>
            <w:hideMark/>
          </w:tcPr>
          <w:p w14:paraId="2E4F71D4" w14:textId="77777777" w:rsidR="008A1281" w:rsidRPr="00EA28CB" w:rsidRDefault="008A1281" w:rsidP="004320C0">
            <w:pPr>
              <w:spacing w:after="0" w:line="240" w:lineRule="auto"/>
            </w:pPr>
            <w:r w:rsidRPr="00EA28CB">
              <w:t>0.34</w:t>
            </w:r>
          </w:p>
        </w:tc>
        <w:tc>
          <w:tcPr>
            <w:tcW w:w="1557" w:type="dxa"/>
            <w:tcBorders>
              <w:top w:val="nil"/>
              <w:left w:val="nil"/>
              <w:bottom w:val="nil"/>
              <w:right w:val="nil"/>
            </w:tcBorders>
            <w:shd w:val="clear" w:color="auto" w:fill="auto"/>
            <w:noWrap/>
            <w:vAlign w:val="bottom"/>
            <w:hideMark/>
          </w:tcPr>
          <w:p w14:paraId="38CEAE67"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6C057DD5" w14:textId="77777777" w:rsidR="008A1281" w:rsidRPr="00EA28CB" w:rsidRDefault="008A1281" w:rsidP="004320C0">
            <w:pPr>
              <w:spacing w:after="0" w:line="240" w:lineRule="auto"/>
            </w:pPr>
            <w:r w:rsidRPr="00EA28CB">
              <w:t>0.15</w:t>
            </w:r>
          </w:p>
        </w:tc>
        <w:tc>
          <w:tcPr>
            <w:tcW w:w="1219" w:type="dxa"/>
            <w:tcBorders>
              <w:top w:val="nil"/>
              <w:left w:val="nil"/>
              <w:bottom w:val="nil"/>
              <w:right w:val="nil"/>
            </w:tcBorders>
            <w:shd w:val="clear" w:color="auto" w:fill="auto"/>
            <w:noWrap/>
            <w:vAlign w:val="bottom"/>
            <w:hideMark/>
          </w:tcPr>
          <w:p w14:paraId="29B93B1B" w14:textId="77777777" w:rsidR="008A1281" w:rsidRPr="00EA28CB" w:rsidRDefault="008A1281" w:rsidP="004320C0">
            <w:pPr>
              <w:spacing w:after="0" w:line="240" w:lineRule="auto"/>
            </w:pPr>
            <w:r w:rsidRPr="00EA28CB">
              <w:t>-0.03</w:t>
            </w:r>
          </w:p>
        </w:tc>
      </w:tr>
      <w:tr w:rsidR="008A1281" w:rsidRPr="00127E34" w14:paraId="17D3B092" w14:textId="77777777" w:rsidTr="006A68F1">
        <w:trPr>
          <w:trHeight w:val="300"/>
        </w:trPr>
        <w:tc>
          <w:tcPr>
            <w:tcW w:w="1751" w:type="dxa"/>
            <w:tcBorders>
              <w:top w:val="nil"/>
              <w:left w:val="nil"/>
              <w:bottom w:val="nil"/>
              <w:right w:val="nil"/>
            </w:tcBorders>
            <w:shd w:val="clear" w:color="auto" w:fill="auto"/>
            <w:noWrap/>
            <w:vAlign w:val="bottom"/>
            <w:hideMark/>
          </w:tcPr>
          <w:p w14:paraId="7A7333E7" w14:textId="77777777" w:rsidR="008A1281" w:rsidRPr="00EA28CB" w:rsidRDefault="008A1281" w:rsidP="004320C0">
            <w:pPr>
              <w:spacing w:after="0" w:line="240" w:lineRule="auto"/>
            </w:pPr>
            <w:r w:rsidRPr="00EA28CB">
              <w:t>School problems</w:t>
            </w:r>
          </w:p>
        </w:tc>
        <w:tc>
          <w:tcPr>
            <w:tcW w:w="1226" w:type="dxa"/>
            <w:tcBorders>
              <w:top w:val="nil"/>
              <w:left w:val="nil"/>
              <w:bottom w:val="nil"/>
              <w:right w:val="nil"/>
            </w:tcBorders>
            <w:shd w:val="clear" w:color="auto" w:fill="auto"/>
            <w:noWrap/>
            <w:vAlign w:val="bottom"/>
            <w:hideMark/>
          </w:tcPr>
          <w:p w14:paraId="309B2F76" w14:textId="77777777" w:rsidR="008A1281" w:rsidRPr="00EA28CB" w:rsidRDefault="008A1281" w:rsidP="004320C0">
            <w:pPr>
              <w:spacing w:after="0" w:line="240" w:lineRule="auto"/>
            </w:pPr>
            <w:r w:rsidRPr="00EA28CB">
              <w:t>0.34</w:t>
            </w:r>
          </w:p>
        </w:tc>
        <w:tc>
          <w:tcPr>
            <w:tcW w:w="1276" w:type="dxa"/>
            <w:tcBorders>
              <w:top w:val="nil"/>
              <w:left w:val="nil"/>
              <w:bottom w:val="nil"/>
              <w:right w:val="nil"/>
            </w:tcBorders>
            <w:shd w:val="clear" w:color="auto" w:fill="auto"/>
            <w:noWrap/>
            <w:vAlign w:val="bottom"/>
            <w:hideMark/>
          </w:tcPr>
          <w:p w14:paraId="4C789629" w14:textId="47E51A4D" w:rsidR="008A1281" w:rsidRPr="00EA28CB" w:rsidRDefault="008A1281" w:rsidP="004320C0">
            <w:pPr>
              <w:spacing w:after="0" w:line="240" w:lineRule="auto"/>
            </w:pPr>
            <w:r w:rsidRPr="00EA28CB">
              <w:t>0.1</w:t>
            </w:r>
            <w:r w:rsidR="004D5992">
              <w:t>0</w:t>
            </w:r>
          </w:p>
        </w:tc>
        <w:tc>
          <w:tcPr>
            <w:tcW w:w="1376" w:type="dxa"/>
            <w:tcBorders>
              <w:top w:val="nil"/>
              <w:left w:val="nil"/>
              <w:bottom w:val="nil"/>
              <w:right w:val="nil"/>
            </w:tcBorders>
            <w:shd w:val="clear" w:color="auto" w:fill="auto"/>
            <w:noWrap/>
            <w:vAlign w:val="bottom"/>
            <w:hideMark/>
          </w:tcPr>
          <w:p w14:paraId="492589FF" w14:textId="77777777" w:rsidR="008A1281" w:rsidRPr="00EA28CB" w:rsidRDefault="008A1281" w:rsidP="004320C0">
            <w:pPr>
              <w:spacing w:after="0" w:line="240" w:lineRule="auto"/>
            </w:pPr>
            <w:r w:rsidRPr="00EA28CB">
              <w:t>0.24</w:t>
            </w:r>
          </w:p>
        </w:tc>
        <w:tc>
          <w:tcPr>
            <w:tcW w:w="1557" w:type="dxa"/>
            <w:tcBorders>
              <w:top w:val="nil"/>
              <w:left w:val="nil"/>
              <w:bottom w:val="nil"/>
              <w:right w:val="nil"/>
            </w:tcBorders>
            <w:shd w:val="clear" w:color="auto" w:fill="auto"/>
            <w:noWrap/>
            <w:vAlign w:val="bottom"/>
            <w:hideMark/>
          </w:tcPr>
          <w:p w14:paraId="402BD314" w14:textId="77777777" w:rsidR="008A1281" w:rsidRPr="00EA28CB" w:rsidRDefault="008A1281" w:rsidP="004320C0">
            <w:pPr>
              <w:spacing w:after="0" w:line="240" w:lineRule="auto"/>
            </w:pPr>
            <w:r w:rsidRPr="00EA28CB">
              <w:t>0.06</w:t>
            </w:r>
          </w:p>
        </w:tc>
        <w:tc>
          <w:tcPr>
            <w:tcW w:w="1219" w:type="dxa"/>
            <w:tcBorders>
              <w:top w:val="nil"/>
              <w:left w:val="nil"/>
              <w:bottom w:val="nil"/>
              <w:right w:val="nil"/>
            </w:tcBorders>
            <w:shd w:val="clear" w:color="auto" w:fill="auto"/>
            <w:noWrap/>
            <w:vAlign w:val="bottom"/>
            <w:hideMark/>
          </w:tcPr>
          <w:p w14:paraId="6C4D7F21" w14:textId="71C90581" w:rsidR="008A1281" w:rsidRPr="00EA28CB" w:rsidRDefault="008A1281" w:rsidP="004320C0">
            <w:pPr>
              <w:spacing w:after="0" w:line="240" w:lineRule="auto"/>
            </w:pPr>
            <w:r w:rsidRPr="00EA28CB">
              <w:t>-0.1</w:t>
            </w:r>
            <w:r w:rsidR="004D5992">
              <w:t>0</w:t>
            </w:r>
          </w:p>
        </w:tc>
        <w:tc>
          <w:tcPr>
            <w:tcW w:w="1219" w:type="dxa"/>
            <w:tcBorders>
              <w:top w:val="nil"/>
              <w:left w:val="nil"/>
              <w:bottom w:val="nil"/>
              <w:right w:val="nil"/>
            </w:tcBorders>
            <w:shd w:val="clear" w:color="auto" w:fill="auto"/>
            <w:noWrap/>
            <w:vAlign w:val="bottom"/>
            <w:hideMark/>
          </w:tcPr>
          <w:p w14:paraId="7412FF29" w14:textId="77777777" w:rsidR="008A1281" w:rsidRPr="00EA28CB" w:rsidRDefault="008A1281" w:rsidP="004320C0">
            <w:pPr>
              <w:spacing w:after="0" w:line="240" w:lineRule="auto"/>
            </w:pPr>
            <w:r w:rsidRPr="00EA28CB">
              <w:t>-0.04</w:t>
            </w:r>
          </w:p>
        </w:tc>
      </w:tr>
      <w:tr w:rsidR="008A1281" w:rsidRPr="00127E34" w14:paraId="22805BEC" w14:textId="77777777" w:rsidTr="006A68F1">
        <w:trPr>
          <w:trHeight w:val="300"/>
        </w:trPr>
        <w:tc>
          <w:tcPr>
            <w:tcW w:w="1751" w:type="dxa"/>
            <w:tcBorders>
              <w:top w:val="nil"/>
              <w:left w:val="nil"/>
              <w:bottom w:val="nil"/>
              <w:right w:val="nil"/>
            </w:tcBorders>
            <w:shd w:val="clear" w:color="auto" w:fill="auto"/>
            <w:noWrap/>
            <w:vAlign w:val="bottom"/>
            <w:hideMark/>
          </w:tcPr>
          <w:p w14:paraId="2F29A170" w14:textId="77777777" w:rsidR="008A1281" w:rsidRPr="00EA28CB" w:rsidRDefault="008A1281" w:rsidP="004320C0">
            <w:pPr>
              <w:spacing w:after="0" w:line="240" w:lineRule="auto"/>
            </w:pPr>
            <w:proofErr w:type="spellStart"/>
            <w:r w:rsidRPr="00EA28CB">
              <w:t>Self harm</w:t>
            </w:r>
            <w:proofErr w:type="spellEnd"/>
          </w:p>
        </w:tc>
        <w:tc>
          <w:tcPr>
            <w:tcW w:w="1226" w:type="dxa"/>
            <w:tcBorders>
              <w:top w:val="nil"/>
              <w:left w:val="nil"/>
              <w:bottom w:val="nil"/>
              <w:right w:val="nil"/>
            </w:tcBorders>
            <w:shd w:val="clear" w:color="auto" w:fill="auto"/>
            <w:noWrap/>
            <w:vAlign w:val="bottom"/>
            <w:hideMark/>
          </w:tcPr>
          <w:p w14:paraId="6B231BB4" w14:textId="2587FF2F" w:rsidR="008A1281" w:rsidRPr="00EA28CB" w:rsidRDefault="008A1281" w:rsidP="004320C0">
            <w:pPr>
              <w:spacing w:after="0" w:line="240" w:lineRule="auto"/>
            </w:pPr>
            <w:r w:rsidRPr="00EA28CB">
              <w:t>1.5</w:t>
            </w:r>
            <w:r w:rsidR="004D5992">
              <w:t>0</w:t>
            </w:r>
          </w:p>
        </w:tc>
        <w:tc>
          <w:tcPr>
            <w:tcW w:w="1276" w:type="dxa"/>
            <w:tcBorders>
              <w:top w:val="nil"/>
              <w:left w:val="nil"/>
              <w:bottom w:val="nil"/>
              <w:right w:val="nil"/>
            </w:tcBorders>
            <w:shd w:val="clear" w:color="auto" w:fill="auto"/>
            <w:noWrap/>
            <w:vAlign w:val="bottom"/>
            <w:hideMark/>
          </w:tcPr>
          <w:p w14:paraId="3CEAB650" w14:textId="77777777" w:rsidR="008A1281" w:rsidRPr="00EA28CB" w:rsidRDefault="008A1281" w:rsidP="004320C0">
            <w:pPr>
              <w:spacing w:after="0" w:line="240" w:lineRule="auto"/>
            </w:pPr>
            <w:r w:rsidRPr="00EA28CB">
              <w:t>0.29</w:t>
            </w:r>
          </w:p>
        </w:tc>
        <w:tc>
          <w:tcPr>
            <w:tcW w:w="1376" w:type="dxa"/>
            <w:tcBorders>
              <w:top w:val="nil"/>
              <w:left w:val="nil"/>
              <w:bottom w:val="nil"/>
              <w:right w:val="nil"/>
            </w:tcBorders>
            <w:shd w:val="clear" w:color="auto" w:fill="auto"/>
            <w:noWrap/>
            <w:vAlign w:val="bottom"/>
            <w:hideMark/>
          </w:tcPr>
          <w:p w14:paraId="1360E086" w14:textId="77777777" w:rsidR="008A1281" w:rsidRPr="00EA28CB" w:rsidRDefault="008A1281" w:rsidP="004320C0">
            <w:pPr>
              <w:spacing w:after="0" w:line="240" w:lineRule="auto"/>
            </w:pPr>
            <w:r w:rsidRPr="00EA28CB">
              <w:t>2.35</w:t>
            </w:r>
          </w:p>
        </w:tc>
        <w:tc>
          <w:tcPr>
            <w:tcW w:w="1557" w:type="dxa"/>
            <w:tcBorders>
              <w:top w:val="nil"/>
              <w:left w:val="nil"/>
              <w:bottom w:val="nil"/>
              <w:right w:val="nil"/>
            </w:tcBorders>
            <w:shd w:val="clear" w:color="auto" w:fill="auto"/>
            <w:noWrap/>
            <w:vAlign w:val="bottom"/>
            <w:hideMark/>
          </w:tcPr>
          <w:p w14:paraId="069236C5" w14:textId="77777777" w:rsidR="008A1281" w:rsidRPr="00EA28CB" w:rsidRDefault="008A1281" w:rsidP="004320C0">
            <w:pPr>
              <w:spacing w:after="0" w:line="240" w:lineRule="auto"/>
            </w:pPr>
            <w:r w:rsidRPr="00EA28CB">
              <w:t>0.26</w:t>
            </w:r>
          </w:p>
        </w:tc>
        <w:tc>
          <w:tcPr>
            <w:tcW w:w="1219" w:type="dxa"/>
            <w:tcBorders>
              <w:top w:val="nil"/>
              <w:left w:val="nil"/>
              <w:bottom w:val="nil"/>
              <w:right w:val="nil"/>
            </w:tcBorders>
            <w:shd w:val="clear" w:color="auto" w:fill="auto"/>
            <w:noWrap/>
            <w:vAlign w:val="bottom"/>
            <w:hideMark/>
          </w:tcPr>
          <w:p w14:paraId="324BDEFC" w14:textId="77777777" w:rsidR="008A1281" w:rsidRPr="00EA28CB" w:rsidRDefault="008A1281" w:rsidP="004320C0">
            <w:pPr>
              <w:spacing w:after="0" w:line="240" w:lineRule="auto"/>
            </w:pPr>
            <w:r w:rsidRPr="00EA28CB">
              <w:t>0.85</w:t>
            </w:r>
          </w:p>
        </w:tc>
        <w:tc>
          <w:tcPr>
            <w:tcW w:w="1219" w:type="dxa"/>
            <w:tcBorders>
              <w:top w:val="nil"/>
              <w:left w:val="nil"/>
              <w:bottom w:val="nil"/>
              <w:right w:val="nil"/>
            </w:tcBorders>
            <w:shd w:val="clear" w:color="auto" w:fill="auto"/>
            <w:noWrap/>
            <w:vAlign w:val="bottom"/>
            <w:hideMark/>
          </w:tcPr>
          <w:p w14:paraId="23B644F6" w14:textId="77777777" w:rsidR="008A1281" w:rsidRPr="00EA28CB" w:rsidRDefault="008A1281" w:rsidP="004320C0">
            <w:pPr>
              <w:spacing w:after="0" w:line="240" w:lineRule="auto"/>
            </w:pPr>
            <w:r w:rsidRPr="00EA28CB">
              <w:t>-0.03</w:t>
            </w:r>
          </w:p>
        </w:tc>
      </w:tr>
      <w:tr w:rsidR="008A1281" w:rsidRPr="00127E34" w14:paraId="41A8CA00" w14:textId="77777777" w:rsidTr="006A68F1">
        <w:trPr>
          <w:trHeight w:val="300"/>
        </w:trPr>
        <w:tc>
          <w:tcPr>
            <w:tcW w:w="1751" w:type="dxa"/>
            <w:tcBorders>
              <w:top w:val="nil"/>
              <w:left w:val="nil"/>
              <w:bottom w:val="nil"/>
              <w:right w:val="nil"/>
            </w:tcBorders>
            <w:shd w:val="clear" w:color="auto" w:fill="auto"/>
            <w:noWrap/>
            <w:vAlign w:val="bottom"/>
            <w:hideMark/>
          </w:tcPr>
          <w:p w14:paraId="31533C4F" w14:textId="77777777" w:rsidR="008A1281" w:rsidRPr="00EA28CB" w:rsidRDefault="008A1281" w:rsidP="004320C0">
            <w:pPr>
              <w:spacing w:after="0" w:line="240" w:lineRule="auto"/>
            </w:pPr>
            <w:r w:rsidRPr="00EA28CB">
              <w:t>Skin disorders</w:t>
            </w:r>
          </w:p>
        </w:tc>
        <w:tc>
          <w:tcPr>
            <w:tcW w:w="1226" w:type="dxa"/>
            <w:tcBorders>
              <w:top w:val="nil"/>
              <w:left w:val="nil"/>
              <w:bottom w:val="nil"/>
              <w:right w:val="nil"/>
            </w:tcBorders>
            <w:shd w:val="clear" w:color="auto" w:fill="auto"/>
            <w:noWrap/>
            <w:vAlign w:val="bottom"/>
            <w:hideMark/>
          </w:tcPr>
          <w:p w14:paraId="613D78CA" w14:textId="77777777" w:rsidR="008A1281" w:rsidRPr="00EA28CB" w:rsidRDefault="008A1281" w:rsidP="004320C0">
            <w:pPr>
              <w:spacing w:after="0" w:line="240" w:lineRule="auto"/>
            </w:pPr>
            <w:r w:rsidRPr="00EA28CB">
              <w:t>14.49</w:t>
            </w:r>
          </w:p>
        </w:tc>
        <w:tc>
          <w:tcPr>
            <w:tcW w:w="1276" w:type="dxa"/>
            <w:tcBorders>
              <w:top w:val="nil"/>
              <w:left w:val="nil"/>
              <w:bottom w:val="nil"/>
              <w:right w:val="nil"/>
            </w:tcBorders>
            <w:shd w:val="clear" w:color="auto" w:fill="auto"/>
            <w:noWrap/>
            <w:vAlign w:val="bottom"/>
            <w:hideMark/>
          </w:tcPr>
          <w:p w14:paraId="0E4FD246" w14:textId="77777777" w:rsidR="008A1281" w:rsidRPr="00EA28CB" w:rsidRDefault="008A1281" w:rsidP="004320C0">
            <w:pPr>
              <w:spacing w:after="0" w:line="240" w:lineRule="auto"/>
            </w:pPr>
            <w:r w:rsidRPr="00EA28CB">
              <w:t>11.8</w:t>
            </w:r>
          </w:p>
        </w:tc>
        <w:tc>
          <w:tcPr>
            <w:tcW w:w="1376" w:type="dxa"/>
            <w:tcBorders>
              <w:top w:val="nil"/>
              <w:left w:val="nil"/>
              <w:bottom w:val="nil"/>
              <w:right w:val="nil"/>
            </w:tcBorders>
            <w:shd w:val="clear" w:color="auto" w:fill="auto"/>
            <w:noWrap/>
            <w:vAlign w:val="bottom"/>
            <w:hideMark/>
          </w:tcPr>
          <w:p w14:paraId="274288B2" w14:textId="77777777" w:rsidR="008A1281" w:rsidRPr="00EA28CB" w:rsidRDefault="008A1281" w:rsidP="004320C0">
            <w:pPr>
              <w:spacing w:after="0" w:line="240" w:lineRule="auto"/>
            </w:pPr>
            <w:r w:rsidRPr="00EA28CB">
              <w:t>12.8</w:t>
            </w:r>
          </w:p>
        </w:tc>
        <w:tc>
          <w:tcPr>
            <w:tcW w:w="1557" w:type="dxa"/>
            <w:tcBorders>
              <w:top w:val="nil"/>
              <w:left w:val="nil"/>
              <w:bottom w:val="nil"/>
              <w:right w:val="nil"/>
            </w:tcBorders>
            <w:shd w:val="clear" w:color="auto" w:fill="auto"/>
            <w:noWrap/>
            <w:vAlign w:val="bottom"/>
            <w:hideMark/>
          </w:tcPr>
          <w:p w14:paraId="3E82D028" w14:textId="77777777" w:rsidR="008A1281" w:rsidRPr="00EA28CB" w:rsidRDefault="008A1281" w:rsidP="004320C0">
            <w:pPr>
              <w:spacing w:after="0" w:line="240" w:lineRule="auto"/>
            </w:pPr>
            <w:r w:rsidRPr="00EA28CB">
              <w:t>7.84</w:t>
            </w:r>
          </w:p>
        </w:tc>
        <w:tc>
          <w:tcPr>
            <w:tcW w:w="1219" w:type="dxa"/>
            <w:tcBorders>
              <w:top w:val="nil"/>
              <w:left w:val="nil"/>
              <w:bottom w:val="nil"/>
              <w:right w:val="nil"/>
            </w:tcBorders>
            <w:shd w:val="clear" w:color="auto" w:fill="auto"/>
            <w:noWrap/>
            <w:vAlign w:val="bottom"/>
            <w:hideMark/>
          </w:tcPr>
          <w:p w14:paraId="3B7870EA" w14:textId="77777777" w:rsidR="008A1281" w:rsidRPr="00EA28CB" w:rsidRDefault="008A1281" w:rsidP="004320C0">
            <w:pPr>
              <w:spacing w:after="0" w:line="240" w:lineRule="auto"/>
            </w:pPr>
            <w:r w:rsidRPr="00EA28CB">
              <w:t>-1.69</w:t>
            </w:r>
          </w:p>
        </w:tc>
        <w:tc>
          <w:tcPr>
            <w:tcW w:w="1219" w:type="dxa"/>
            <w:tcBorders>
              <w:top w:val="nil"/>
              <w:left w:val="nil"/>
              <w:bottom w:val="nil"/>
              <w:right w:val="nil"/>
            </w:tcBorders>
            <w:shd w:val="clear" w:color="auto" w:fill="auto"/>
            <w:noWrap/>
            <w:vAlign w:val="bottom"/>
            <w:hideMark/>
          </w:tcPr>
          <w:p w14:paraId="16908771" w14:textId="77777777" w:rsidR="008A1281" w:rsidRPr="00EA28CB" w:rsidRDefault="008A1281" w:rsidP="004320C0">
            <w:pPr>
              <w:spacing w:after="0" w:line="240" w:lineRule="auto"/>
            </w:pPr>
            <w:r w:rsidRPr="00EA28CB">
              <w:t>-3.96</w:t>
            </w:r>
          </w:p>
        </w:tc>
      </w:tr>
      <w:tr w:rsidR="008A1281" w:rsidRPr="00127E34" w14:paraId="625DE980" w14:textId="77777777" w:rsidTr="006A68F1">
        <w:trPr>
          <w:trHeight w:val="300"/>
        </w:trPr>
        <w:tc>
          <w:tcPr>
            <w:tcW w:w="1751" w:type="dxa"/>
            <w:tcBorders>
              <w:top w:val="nil"/>
              <w:left w:val="nil"/>
              <w:bottom w:val="nil"/>
              <w:right w:val="nil"/>
            </w:tcBorders>
            <w:shd w:val="clear" w:color="auto" w:fill="auto"/>
            <w:noWrap/>
            <w:vAlign w:val="bottom"/>
            <w:hideMark/>
          </w:tcPr>
          <w:p w14:paraId="035A3493" w14:textId="77777777" w:rsidR="008A1281" w:rsidRPr="00EA28CB" w:rsidRDefault="008A1281" w:rsidP="004320C0">
            <w:pPr>
              <w:spacing w:after="0" w:line="240" w:lineRule="auto"/>
            </w:pPr>
            <w:r w:rsidRPr="00EA28CB">
              <w:t>Sleep disorder, too little</w:t>
            </w:r>
          </w:p>
        </w:tc>
        <w:tc>
          <w:tcPr>
            <w:tcW w:w="1226" w:type="dxa"/>
            <w:tcBorders>
              <w:top w:val="nil"/>
              <w:left w:val="nil"/>
              <w:bottom w:val="nil"/>
              <w:right w:val="nil"/>
            </w:tcBorders>
            <w:shd w:val="clear" w:color="auto" w:fill="auto"/>
            <w:noWrap/>
            <w:vAlign w:val="bottom"/>
            <w:hideMark/>
          </w:tcPr>
          <w:p w14:paraId="369FA553" w14:textId="1E863B25" w:rsidR="008A1281" w:rsidRPr="00EA28CB" w:rsidRDefault="008A1281" w:rsidP="004320C0">
            <w:pPr>
              <w:spacing w:after="0" w:line="240" w:lineRule="auto"/>
            </w:pPr>
            <w:r w:rsidRPr="00EA28CB">
              <w:t>0.9</w:t>
            </w:r>
            <w:r w:rsidR="004D5992">
              <w:t>0</w:t>
            </w:r>
          </w:p>
        </w:tc>
        <w:tc>
          <w:tcPr>
            <w:tcW w:w="1276" w:type="dxa"/>
            <w:tcBorders>
              <w:top w:val="nil"/>
              <w:left w:val="nil"/>
              <w:bottom w:val="nil"/>
              <w:right w:val="nil"/>
            </w:tcBorders>
            <w:shd w:val="clear" w:color="auto" w:fill="auto"/>
            <w:noWrap/>
            <w:vAlign w:val="bottom"/>
            <w:hideMark/>
          </w:tcPr>
          <w:p w14:paraId="2596244A" w14:textId="77777777" w:rsidR="008A1281" w:rsidRPr="00EA28CB" w:rsidRDefault="008A1281" w:rsidP="004320C0">
            <w:pPr>
              <w:spacing w:after="0" w:line="240" w:lineRule="auto"/>
            </w:pPr>
            <w:r w:rsidRPr="00EA28CB">
              <w:t>0.22</w:t>
            </w:r>
          </w:p>
        </w:tc>
        <w:tc>
          <w:tcPr>
            <w:tcW w:w="1376" w:type="dxa"/>
            <w:tcBorders>
              <w:top w:val="nil"/>
              <w:left w:val="nil"/>
              <w:bottom w:val="nil"/>
              <w:right w:val="nil"/>
            </w:tcBorders>
            <w:shd w:val="clear" w:color="auto" w:fill="auto"/>
            <w:noWrap/>
            <w:vAlign w:val="bottom"/>
            <w:hideMark/>
          </w:tcPr>
          <w:p w14:paraId="0BFAFB22" w14:textId="41F1A44D" w:rsidR="008A1281" w:rsidRPr="00EA28CB" w:rsidRDefault="008A1281" w:rsidP="004320C0">
            <w:pPr>
              <w:spacing w:after="0" w:line="240" w:lineRule="auto"/>
            </w:pPr>
            <w:r w:rsidRPr="00EA28CB">
              <w:t>1.2</w:t>
            </w:r>
            <w:r w:rsidR="004D5992">
              <w:t>0</w:t>
            </w:r>
          </w:p>
        </w:tc>
        <w:tc>
          <w:tcPr>
            <w:tcW w:w="1557" w:type="dxa"/>
            <w:tcBorders>
              <w:top w:val="nil"/>
              <w:left w:val="nil"/>
              <w:bottom w:val="nil"/>
              <w:right w:val="nil"/>
            </w:tcBorders>
            <w:shd w:val="clear" w:color="auto" w:fill="auto"/>
            <w:noWrap/>
            <w:vAlign w:val="bottom"/>
            <w:hideMark/>
          </w:tcPr>
          <w:p w14:paraId="36810F6F" w14:textId="77777777" w:rsidR="008A1281" w:rsidRPr="00EA28CB" w:rsidRDefault="008A1281" w:rsidP="004320C0">
            <w:pPr>
              <w:spacing w:after="0" w:line="240" w:lineRule="auto"/>
            </w:pPr>
            <w:r w:rsidRPr="00EA28CB">
              <w:t>0.09</w:t>
            </w:r>
          </w:p>
        </w:tc>
        <w:tc>
          <w:tcPr>
            <w:tcW w:w="1219" w:type="dxa"/>
            <w:tcBorders>
              <w:top w:val="nil"/>
              <w:left w:val="nil"/>
              <w:bottom w:val="nil"/>
              <w:right w:val="nil"/>
            </w:tcBorders>
            <w:shd w:val="clear" w:color="auto" w:fill="auto"/>
            <w:noWrap/>
            <w:vAlign w:val="bottom"/>
            <w:hideMark/>
          </w:tcPr>
          <w:p w14:paraId="1039E520" w14:textId="77777777" w:rsidR="008A1281" w:rsidRPr="00EA28CB" w:rsidRDefault="008A1281" w:rsidP="004320C0">
            <w:pPr>
              <w:spacing w:after="0" w:line="240" w:lineRule="auto"/>
            </w:pPr>
            <w:r w:rsidRPr="00EA28CB">
              <w:t>0.31</w:t>
            </w:r>
          </w:p>
        </w:tc>
        <w:tc>
          <w:tcPr>
            <w:tcW w:w="1219" w:type="dxa"/>
            <w:tcBorders>
              <w:top w:val="nil"/>
              <w:left w:val="nil"/>
              <w:bottom w:val="nil"/>
              <w:right w:val="nil"/>
            </w:tcBorders>
            <w:shd w:val="clear" w:color="auto" w:fill="auto"/>
            <w:noWrap/>
            <w:vAlign w:val="bottom"/>
            <w:hideMark/>
          </w:tcPr>
          <w:p w14:paraId="1817C143" w14:textId="77777777" w:rsidR="008A1281" w:rsidRPr="00EA28CB" w:rsidRDefault="008A1281" w:rsidP="004320C0">
            <w:pPr>
              <w:spacing w:after="0" w:line="240" w:lineRule="auto"/>
            </w:pPr>
            <w:r w:rsidRPr="00EA28CB">
              <w:t>-0.13</w:t>
            </w:r>
          </w:p>
        </w:tc>
      </w:tr>
      <w:tr w:rsidR="008A1281" w:rsidRPr="00127E34" w14:paraId="047AAA3E" w14:textId="77777777" w:rsidTr="006A68F1">
        <w:trPr>
          <w:trHeight w:val="300"/>
        </w:trPr>
        <w:tc>
          <w:tcPr>
            <w:tcW w:w="1751" w:type="dxa"/>
            <w:tcBorders>
              <w:top w:val="nil"/>
              <w:left w:val="nil"/>
              <w:bottom w:val="nil"/>
              <w:right w:val="nil"/>
            </w:tcBorders>
            <w:shd w:val="clear" w:color="auto" w:fill="auto"/>
            <w:noWrap/>
            <w:vAlign w:val="bottom"/>
            <w:hideMark/>
          </w:tcPr>
          <w:p w14:paraId="47D3BC40" w14:textId="77777777" w:rsidR="008A1281" w:rsidRPr="00EA28CB" w:rsidRDefault="008A1281" w:rsidP="004320C0">
            <w:pPr>
              <w:spacing w:after="0" w:line="240" w:lineRule="auto"/>
            </w:pPr>
            <w:r w:rsidRPr="00EA28CB">
              <w:t>Sleep disorder, too much</w:t>
            </w:r>
          </w:p>
        </w:tc>
        <w:tc>
          <w:tcPr>
            <w:tcW w:w="1226" w:type="dxa"/>
            <w:tcBorders>
              <w:top w:val="nil"/>
              <w:left w:val="nil"/>
              <w:bottom w:val="nil"/>
              <w:right w:val="nil"/>
            </w:tcBorders>
            <w:shd w:val="clear" w:color="auto" w:fill="auto"/>
            <w:noWrap/>
            <w:vAlign w:val="bottom"/>
            <w:hideMark/>
          </w:tcPr>
          <w:p w14:paraId="20E9BA8B" w14:textId="77777777" w:rsidR="008A1281" w:rsidRPr="00EA28CB" w:rsidRDefault="008A1281" w:rsidP="004320C0">
            <w:pPr>
              <w:spacing w:after="0" w:line="240" w:lineRule="auto"/>
            </w:pPr>
            <w:r w:rsidRPr="00EA28CB">
              <w:t>0.03</w:t>
            </w:r>
          </w:p>
        </w:tc>
        <w:tc>
          <w:tcPr>
            <w:tcW w:w="1276" w:type="dxa"/>
            <w:tcBorders>
              <w:top w:val="nil"/>
              <w:left w:val="nil"/>
              <w:bottom w:val="nil"/>
              <w:right w:val="nil"/>
            </w:tcBorders>
            <w:shd w:val="clear" w:color="auto" w:fill="auto"/>
            <w:noWrap/>
            <w:vAlign w:val="bottom"/>
            <w:hideMark/>
          </w:tcPr>
          <w:p w14:paraId="41A6316D" w14:textId="77777777" w:rsidR="008A1281" w:rsidRPr="00EA28CB" w:rsidRDefault="008A1281" w:rsidP="004320C0">
            <w:pPr>
              <w:spacing w:after="0" w:line="240" w:lineRule="auto"/>
            </w:pPr>
            <w:r w:rsidRPr="00EA28CB">
              <w:t>0.01</w:t>
            </w:r>
          </w:p>
        </w:tc>
        <w:tc>
          <w:tcPr>
            <w:tcW w:w="1376" w:type="dxa"/>
            <w:tcBorders>
              <w:top w:val="nil"/>
              <w:left w:val="nil"/>
              <w:bottom w:val="nil"/>
              <w:right w:val="nil"/>
            </w:tcBorders>
            <w:shd w:val="clear" w:color="auto" w:fill="auto"/>
            <w:noWrap/>
            <w:vAlign w:val="bottom"/>
            <w:hideMark/>
          </w:tcPr>
          <w:p w14:paraId="1FC2EEA7" w14:textId="4DD365B5" w:rsidR="008A1281" w:rsidRPr="00EA28CB" w:rsidRDefault="008A1281" w:rsidP="004320C0">
            <w:pPr>
              <w:spacing w:after="0" w:line="240" w:lineRule="auto"/>
            </w:pPr>
            <w:r w:rsidRPr="00EA28CB">
              <w:t>0.3</w:t>
            </w:r>
            <w:r w:rsidR="004D5992">
              <w:t>0</w:t>
            </w:r>
          </w:p>
        </w:tc>
        <w:tc>
          <w:tcPr>
            <w:tcW w:w="1557" w:type="dxa"/>
            <w:tcBorders>
              <w:top w:val="nil"/>
              <w:left w:val="nil"/>
              <w:bottom w:val="nil"/>
              <w:right w:val="nil"/>
            </w:tcBorders>
            <w:shd w:val="clear" w:color="auto" w:fill="auto"/>
            <w:noWrap/>
            <w:vAlign w:val="bottom"/>
            <w:hideMark/>
          </w:tcPr>
          <w:p w14:paraId="144A3E29"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7F3F54ED" w14:textId="77777777" w:rsidR="008A1281" w:rsidRPr="00EA28CB" w:rsidRDefault="008A1281" w:rsidP="004320C0">
            <w:pPr>
              <w:spacing w:after="0" w:line="240" w:lineRule="auto"/>
            </w:pPr>
            <w:r w:rsidRPr="00EA28CB">
              <w:t>0.27</w:t>
            </w:r>
          </w:p>
        </w:tc>
        <w:tc>
          <w:tcPr>
            <w:tcW w:w="1219" w:type="dxa"/>
            <w:tcBorders>
              <w:top w:val="nil"/>
              <w:left w:val="nil"/>
              <w:bottom w:val="nil"/>
              <w:right w:val="nil"/>
            </w:tcBorders>
            <w:shd w:val="clear" w:color="auto" w:fill="auto"/>
            <w:noWrap/>
            <w:vAlign w:val="bottom"/>
            <w:hideMark/>
          </w:tcPr>
          <w:p w14:paraId="3BAA047B" w14:textId="68F0A36F" w:rsidR="008A1281" w:rsidRPr="00EA28CB" w:rsidRDefault="008A1281" w:rsidP="004320C0">
            <w:pPr>
              <w:spacing w:after="0" w:line="240" w:lineRule="auto"/>
            </w:pPr>
            <w:r w:rsidRPr="00EA28CB">
              <w:t>0</w:t>
            </w:r>
            <w:r w:rsidR="004D5992">
              <w:t>.00</w:t>
            </w:r>
          </w:p>
        </w:tc>
      </w:tr>
      <w:tr w:rsidR="008A1281" w:rsidRPr="00127E34" w14:paraId="22BDA0F0" w14:textId="77777777" w:rsidTr="006A68F1">
        <w:trPr>
          <w:trHeight w:val="300"/>
        </w:trPr>
        <w:tc>
          <w:tcPr>
            <w:tcW w:w="1751" w:type="dxa"/>
            <w:tcBorders>
              <w:top w:val="nil"/>
              <w:left w:val="nil"/>
              <w:bottom w:val="nil"/>
              <w:right w:val="nil"/>
            </w:tcBorders>
            <w:shd w:val="clear" w:color="auto" w:fill="auto"/>
            <w:noWrap/>
            <w:vAlign w:val="bottom"/>
            <w:hideMark/>
          </w:tcPr>
          <w:p w14:paraId="70E1D1E8" w14:textId="77777777" w:rsidR="008A1281" w:rsidRPr="00EA28CB" w:rsidRDefault="008A1281" w:rsidP="004320C0">
            <w:pPr>
              <w:spacing w:after="0" w:line="240" w:lineRule="auto"/>
            </w:pPr>
            <w:r w:rsidRPr="00EA28CB">
              <w:t>Teenage pregnancy</w:t>
            </w:r>
          </w:p>
        </w:tc>
        <w:tc>
          <w:tcPr>
            <w:tcW w:w="1226" w:type="dxa"/>
            <w:tcBorders>
              <w:top w:val="nil"/>
              <w:left w:val="nil"/>
              <w:bottom w:val="nil"/>
              <w:right w:val="nil"/>
            </w:tcBorders>
            <w:shd w:val="clear" w:color="auto" w:fill="auto"/>
            <w:noWrap/>
            <w:vAlign w:val="bottom"/>
            <w:hideMark/>
          </w:tcPr>
          <w:p w14:paraId="223E92C4" w14:textId="77777777" w:rsidR="008A1281" w:rsidRPr="00EA28CB" w:rsidRDefault="008A1281" w:rsidP="004320C0">
            <w:pPr>
              <w:spacing w:after="0" w:line="240" w:lineRule="auto"/>
            </w:pPr>
            <w:r w:rsidRPr="00EA28CB">
              <w:t>0.02</w:t>
            </w:r>
          </w:p>
        </w:tc>
        <w:tc>
          <w:tcPr>
            <w:tcW w:w="1276" w:type="dxa"/>
            <w:tcBorders>
              <w:top w:val="nil"/>
              <w:left w:val="nil"/>
              <w:bottom w:val="nil"/>
              <w:right w:val="nil"/>
            </w:tcBorders>
            <w:shd w:val="clear" w:color="auto" w:fill="auto"/>
            <w:noWrap/>
            <w:vAlign w:val="bottom"/>
            <w:hideMark/>
          </w:tcPr>
          <w:p w14:paraId="559128D1" w14:textId="77777777" w:rsidR="008A1281" w:rsidRPr="00EA28CB" w:rsidRDefault="008A1281" w:rsidP="004320C0">
            <w:pPr>
              <w:spacing w:after="0" w:line="240" w:lineRule="auto"/>
            </w:pPr>
            <w:r w:rsidRPr="00EA28CB">
              <w:t>0.01</w:t>
            </w:r>
          </w:p>
        </w:tc>
        <w:tc>
          <w:tcPr>
            <w:tcW w:w="1376" w:type="dxa"/>
            <w:tcBorders>
              <w:top w:val="nil"/>
              <w:left w:val="nil"/>
              <w:bottom w:val="nil"/>
              <w:right w:val="nil"/>
            </w:tcBorders>
            <w:shd w:val="clear" w:color="auto" w:fill="auto"/>
            <w:noWrap/>
            <w:vAlign w:val="bottom"/>
            <w:hideMark/>
          </w:tcPr>
          <w:p w14:paraId="3CD7BBEF" w14:textId="55F908CC" w:rsidR="008A1281" w:rsidRPr="00EA28CB" w:rsidRDefault="008A1281" w:rsidP="004320C0">
            <w:pPr>
              <w:spacing w:after="0" w:line="240" w:lineRule="auto"/>
            </w:pPr>
            <w:r w:rsidRPr="00EA28CB">
              <w:t>0</w:t>
            </w:r>
            <w:r w:rsidR="004D5992">
              <w:t>.00</w:t>
            </w:r>
          </w:p>
        </w:tc>
        <w:tc>
          <w:tcPr>
            <w:tcW w:w="1557" w:type="dxa"/>
            <w:tcBorders>
              <w:top w:val="nil"/>
              <w:left w:val="nil"/>
              <w:bottom w:val="nil"/>
              <w:right w:val="nil"/>
            </w:tcBorders>
            <w:shd w:val="clear" w:color="auto" w:fill="auto"/>
            <w:noWrap/>
            <w:vAlign w:val="bottom"/>
            <w:hideMark/>
          </w:tcPr>
          <w:p w14:paraId="3B5189C7" w14:textId="1369FF9D"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421F7BD9"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4CDF0488" w14:textId="77777777" w:rsidR="008A1281" w:rsidRPr="00EA28CB" w:rsidRDefault="008A1281" w:rsidP="004320C0">
            <w:pPr>
              <w:spacing w:after="0" w:line="240" w:lineRule="auto"/>
            </w:pPr>
            <w:r w:rsidRPr="00EA28CB">
              <w:t>-0.01</w:t>
            </w:r>
          </w:p>
        </w:tc>
      </w:tr>
      <w:tr w:rsidR="008A1281" w:rsidRPr="00127E34" w14:paraId="33D06F67" w14:textId="77777777" w:rsidTr="006A68F1">
        <w:trPr>
          <w:trHeight w:val="300"/>
        </w:trPr>
        <w:tc>
          <w:tcPr>
            <w:tcW w:w="1751" w:type="dxa"/>
            <w:tcBorders>
              <w:top w:val="nil"/>
              <w:left w:val="nil"/>
              <w:bottom w:val="nil"/>
              <w:right w:val="nil"/>
            </w:tcBorders>
            <w:shd w:val="clear" w:color="auto" w:fill="auto"/>
            <w:noWrap/>
            <w:vAlign w:val="bottom"/>
            <w:hideMark/>
          </w:tcPr>
          <w:p w14:paraId="5FD3CE42" w14:textId="77777777" w:rsidR="008A1281" w:rsidRPr="00EA28CB" w:rsidRDefault="008A1281" w:rsidP="004320C0">
            <w:pPr>
              <w:spacing w:after="0" w:line="240" w:lineRule="auto"/>
            </w:pPr>
            <w:r w:rsidRPr="00EA28CB">
              <w:t>Tiredness</w:t>
            </w:r>
          </w:p>
        </w:tc>
        <w:tc>
          <w:tcPr>
            <w:tcW w:w="1226" w:type="dxa"/>
            <w:tcBorders>
              <w:top w:val="nil"/>
              <w:left w:val="nil"/>
              <w:bottom w:val="nil"/>
              <w:right w:val="nil"/>
            </w:tcBorders>
            <w:shd w:val="clear" w:color="auto" w:fill="auto"/>
            <w:noWrap/>
            <w:vAlign w:val="bottom"/>
            <w:hideMark/>
          </w:tcPr>
          <w:p w14:paraId="5B9CA738" w14:textId="77777777" w:rsidR="008A1281" w:rsidRPr="00EA28CB" w:rsidRDefault="008A1281" w:rsidP="004320C0">
            <w:pPr>
              <w:spacing w:after="0" w:line="240" w:lineRule="auto"/>
            </w:pPr>
            <w:r w:rsidRPr="00EA28CB">
              <w:t>2.94</w:t>
            </w:r>
          </w:p>
        </w:tc>
        <w:tc>
          <w:tcPr>
            <w:tcW w:w="1276" w:type="dxa"/>
            <w:tcBorders>
              <w:top w:val="nil"/>
              <w:left w:val="nil"/>
              <w:bottom w:val="nil"/>
              <w:right w:val="nil"/>
            </w:tcBorders>
            <w:shd w:val="clear" w:color="auto" w:fill="auto"/>
            <w:noWrap/>
            <w:vAlign w:val="bottom"/>
            <w:hideMark/>
          </w:tcPr>
          <w:p w14:paraId="23C8091B" w14:textId="77777777" w:rsidR="008A1281" w:rsidRPr="00EA28CB" w:rsidRDefault="008A1281" w:rsidP="004320C0">
            <w:pPr>
              <w:spacing w:after="0" w:line="240" w:lineRule="auto"/>
            </w:pPr>
            <w:r w:rsidRPr="00EA28CB">
              <w:t>1.16</w:t>
            </w:r>
          </w:p>
        </w:tc>
        <w:tc>
          <w:tcPr>
            <w:tcW w:w="1376" w:type="dxa"/>
            <w:tcBorders>
              <w:top w:val="nil"/>
              <w:left w:val="nil"/>
              <w:bottom w:val="nil"/>
              <w:right w:val="nil"/>
            </w:tcBorders>
            <w:shd w:val="clear" w:color="auto" w:fill="auto"/>
            <w:noWrap/>
            <w:vAlign w:val="bottom"/>
            <w:hideMark/>
          </w:tcPr>
          <w:p w14:paraId="4C120AA7" w14:textId="77777777" w:rsidR="008A1281" w:rsidRPr="00EA28CB" w:rsidRDefault="008A1281" w:rsidP="004320C0">
            <w:pPr>
              <w:spacing w:after="0" w:line="240" w:lineRule="auto"/>
            </w:pPr>
            <w:r w:rsidRPr="00EA28CB">
              <w:t>1.19</w:t>
            </w:r>
          </w:p>
        </w:tc>
        <w:tc>
          <w:tcPr>
            <w:tcW w:w="1557" w:type="dxa"/>
            <w:tcBorders>
              <w:top w:val="nil"/>
              <w:left w:val="nil"/>
              <w:bottom w:val="nil"/>
              <w:right w:val="nil"/>
            </w:tcBorders>
            <w:shd w:val="clear" w:color="auto" w:fill="auto"/>
            <w:noWrap/>
            <w:vAlign w:val="bottom"/>
            <w:hideMark/>
          </w:tcPr>
          <w:p w14:paraId="6B2F8B32" w14:textId="77777777" w:rsidR="008A1281" w:rsidRPr="00EA28CB" w:rsidRDefault="008A1281" w:rsidP="004320C0">
            <w:pPr>
              <w:spacing w:after="0" w:line="240" w:lineRule="auto"/>
            </w:pPr>
            <w:r w:rsidRPr="00EA28CB">
              <w:t>0.37</w:t>
            </w:r>
          </w:p>
        </w:tc>
        <w:tc>
          <w:tcPr>
            <w:tcW w:w="1219" w:type="dxa"/>
            <w:tcBorders>
              <w:top w:val="nil"/>
              <w:left w:val="nil"/>
              <w:bottom w:val="nil"/>
              <w:right w:val="nil"/>
            </w:tcBorders>
            <w:shd w:val="clear" w:color="auto" w:fill="auto"/>
            <w:noWrap/>
            <w:vAlign w:val="bottom"/>
            <w:hideMark/>
          </w:tcPr>
          <w:p w14:paraId="19FBF7E6" w14:textId="77777777" w:rsidR="008A1281" w:rsidRPr="00EA28CB" w:rsidRDefault="008A1281" w:rsidP="004320C0">
            <w:pPr>
              <w:spacing w:after="0" w:line="240" w:lineRule="auto"/>
            </w:pPr>
            <w:r w:rsidRPr="00EA28CB">
              <w:t>-1.76</w:t>
            </w:r>
          </w:p>
        </w:tc>
        <w:tc>
          <w:tcPr>
            <w:tcW w:w="1219" w:type="dxa"/>
            <w:tcBorders>
              <w:top w:val="nil"/>
              <w:left w:val="nil"/>
              <w:bottom w:val="nil"/>
              <w:right w:val="nil"/>
            </w:tcBorders>
            <w:shd w:val="clear" w:color="auto" w:fill="auto"/>
            <w:noWrap/>
            <w:vAlign w:val="bottom"/>
            <w:hideMark/>
          </w:tcPr>
          <w:p w14:paraId="7261FA68" w14:textId="2F991693" w:rsidR="008A1281" w:rsidRPr="00EA28CB" w:rsidRDefault="008A1281" w:rsidP="004320C0">
            <w:pPr>
              <w:spacing w:after="0" w:line="240" w:lineRule="auto"/>
            </w:pPr>
            <w:r w:rsidRPr="00EA28CB">
              <w:t>-0.8</w:t>
            </w:r>
            <w:r w:rsidR="004D5992">
              <w:t>0</w:t>
            </w:r>
          </w:p>
        </w:tc>
      </w:tr>
      <w:tr w:rsidR="008A1281" w:rsidRPr="00127E34" w14:paraId="76C76BA1" w14:textId="77777777" w:rsidTr="006A68F1">
        <w:trPr>
          <w:trHeight w:val="300"/>
        </w:trPr>
        <w:tc>
          <w:tcPr>
            <w:tcW w:w="1751" w:type="dxa"/>
            <w:tcBorders>
              <w:top w:val="nil"/>
              <w:left w:val="nil"/>
              <w:bottom w:val="nil"/>
              <w:right w:val="nil"/>
            </w:tcBorders>
            <w:shd w:val="clear" w:color="auto" w:fill="auto"/>
            <w:noWrap/>
            <w:vAlign w:val="bottom"/>
            <w:hideMark/>
          </w:tcPr>
          <w:p w14:paraId="5E4E9390" w14:textId="77777777" w:rsidR="008A1281" w:rsidRPr="00EA28CB" w:rsidRDefault="008A1281" w:rsidP="004320C0">
            <w:pPr>
              <w:spacing w:after="0" w:line="240" w:lineRule="auto"/>
            </w:pPr>
            <w:r w:rsidRPr="00EA28CB">
              <w:t>Unemployment</w:t>
            </w:r>
          </w:p>
        </w:tc>
        <w:tc>
          <w:tcPr>
            <w:tcW w:w="1226" w:type="dxa"/>
            <w:tcBorders>
              <w:top w:val="nil"/>
              <w:left w:val="nil"/>
              <w:bottom w:val="nil"/>
              <w:right w:val="nil"/>
            </w:tcBorders>
            <w:shd w:val="clear" w:color="auto" w:fill="auto"/>
            <w:noWrap/>
            <w:vAlign w:val="bottom"/>
            <w:hideMark/>
          </w:tcPr>
          <w:p w14:paraId="077FF0A7" w14:textId="77777777" w:rsidR="008A1281" w:rsidRPr="00EA28CB" w:rsidRDefault="008A1281" w:rsidP="004320C0">
            <w:pPr>
              <w:spacing w:after="0" w:line="240" w:lineRule="auto"/>
            </w:pPr>
            <w:r w:rsidRPr="00EA28CB">
              <w:t>0.01</w:t>
            </w:r>
          </w:p>
        </w:tc>
        <w:tc>
          <w:tcPr>
            <w:tcW w:w="1276" w:type="dxa"/>
            <w:tcBorders>
              <w:top w:val="nil"/>
              <w:left w:val="nil"/>
              <w:bottom w:val="nil"/>
              <w:right w:val="nil"/>
            </w:tcBorders>
            <w:shd w:val="clear" w:color="auto" w:fill="auto"/>
            <w:noWrap/>
            <w:vAlign w:val="bottom"/>
            <w:hideMark/>
          </w:tcPr>
          <w:p w14:paraId="523FFB60" w14:textId="2B64F9E2" w:rsidR="008A1281" w:rsidRPr="00EA28CB" w:rsidRDefault="008A1281" w:rsidP="004320C0">
            <w:pPr>
              <w:spacing w:after="0" w:line="240" w:lineRule="auto"/>
            </w:pPr>
            <w:r w:rsidRPr="00EA28CB">
              <w:t>0</w:t>
            </w:r>
            <w:r w:rsidR="004D5992">
              <w:t>.00</w:t>
            </w:r>
          </w:p>
        </w:tc>
        <w:tc>
          <w:tcPr>
            <w:tcW w:w="1376" w:type="dxa"/>
            <w:tcBorders>
              <w:top w:val="nil"/>
              <w:left w:val="nil"/>
              <w:bottom w:val="nil"/>
              <w:right w:val="nil"/>
            </w:tcBorders>
            <w:shd w:val="clear" w:color="auto" w:fill="auto"/>
            <w:noWrap/>
            <w:vAlign w:val="bottom"/>
            <w:hideMark/>
          </w:tcPr>
          <w:p w14:paraId="7B9B815D" w14:textId="77777777" w:rsidR="008A1281" w:rsidRPr="00EA28CB" w:rsidRDefault="008A1281" w:rsidP="004320C0">
            <w:pPr>
              <w:spacing w:after="0" w:line="240" w:lineRule="auto"/>
            </w:pPr>
            <w:r w:rsidRPr="00EA28CB">
              <w:t>0.01</w:t>
            </w:r>
          </w:p>
        </w:tc>
        <w:tc>
          <w:tcPr>
            <w:tcW w:w="1557" w:type="dxa"/>
            <w:tcBorders>
              <w:top w:val="nil"/>
              <w:left w:val="nil"/>
              <w:bottom w:val="nil"/>
              <w:right w:val="nil"/>
            </w:tcBorders>
            <w:shd w:val="clear" w:color="auto" w:fill="auto"/>
            <w:noWrap/>
            <w:vAlign w:val="bottom"/>
            <w:hideMark/>
          </w:tcPr>
          <w:p w14:paraId="17BED7C8" w14:textId="17CAE28C"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0F68C50A" w14:textId="688966A0"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415BB8A5" w14:textId="75EBF6EE" w:rsidR="008A1281" w:rsidRPr="00EA28CB" w:rsidRDefault="008A1281" w:rsidP="004320C0">
            <w:pPr>
              <w:spacing w:after="0" w:line="240" w:lineRule="auto"/>
            </w:pPr>
            <w:r w:rsidRPr="00EA28CB">
              <w:t>0</w:t>
            </w:r>
            <w:r w:rsidR="004D5992">
              <w:t>.00</w:t>
            </w:r>
          </w:p>
        </w:tc>
      </w:tr>
      <w:tr w:rsidR="008A1281" w:rsidRPr="00127E34" w14:paraId="6434819C" w14:textId="77777777" w:rsidTr="006A68F1">
        <w:trPr>
          <w:trHeight w:val="300"/>
        </w:trPr>
        <w:tc>
          <w:tcPr>
            <w:tcW w:w="1751" w:type="dxa"/>
            <w:tcBorders>
              <w:top w:val="nil"/>
              <w:left w:val="nil"/>
              <w:bottom w:val="nil"/>
              <w:right w:val="nil"/>
            </w:tcBorders>
            <w:shd w:val="clear" w:color="auto" w:fill="auto"/>
            <w:noWrap/>
            <w:vAlign w:val="bottom"/>
            <w:hideMark/>
          </w:tcPr>
          <w:p w14:paraId="5B78E996" w14:textId="77777777" w:rsidR="008A1281" w:rsidRPr="00EA28CB" w:rsidRDefault="008A1281" w:rsidP="004320C0">
            <w:pPr>
              <w:spacing w:after="0" w:line="240" w:lineRule="auto"/>
            </w:pPr>
            <w:r w:rsidRPr="00EA28CB">
              <w:t>Other somatic symptoms</w:t>
            </w:r>
          </w:p>
        </w:tc>
        <w:tc>
          <w:tcPr>
            <w:tcW w:w="1226" w:type="dxa"/>
            <w:tcBorders>
              <w:top w:val="nil"/>
              <w:left w:val="nil"/>
              <w:bottom w:val="nil"/>
              <w:right w:val="nil"/>
            </w:tcBorders>
            <w:shd w:val="clear" w:color="auto" w:fill="auto"/>
            <w:noWrap/>
            <w:vAlign w:val="bottom"/>
            <w:hideMark/>
          </w:tcPr>
          <w:p w14:paraId="48A60120" w14:textId="77777777" w:rsidR="008A1281" w:rsidRPr="00EA28CB" w:rsidRDefault="008A1281" w:rsidP="004320C0">
            <w:pPr>
              <w:spacing w:after="0" w:line="240" w:lineRule="auto"/>
            </w:pPr>
            <w:r w:rsidRPr="00EA28CB">
              <w:t>0.11</w:t>
            </w:r>
          </w:p>
        </w:tc>
        <w:tc>
          <w:tcPr>
            <w:tcW w:w="1276" w:type="dxa"/>
            <w:tcBorders>
              <w:top w:val="nil"/>
              <w:left w:val="nil"/>
              <w:bottom w:val="nil"/>
              <w:right w:val="nil"/>
            </w:tcBorders>
            <w:shd w:val="clear" w:color="auto" w:fill="auto"/>
            <w:noWrap/>
            <w:vAlign w:val="bottom"/>
            <w:hideMark/>
          </w:tcPr>
          <w:p w14:paraId="2385F61A" w14:textId="77777777" w:rsidR="008A1281" w:rsidRPr="00EA28CB" w:rsidRDefault="008A1281" w:rsidP="004320C0">
            <w:pPr>
              <w:spacing w:after="0" w:line="240" w:lineRule="auto"/>
            </w:pPr>
            <w:r w:rsidRPr="00EA28CB">
              <w:t>0.03</w:t>
            </w:r>
          </w:p>
        </w:tc>
        <w:tc>
          <w:tcPr>
            <w:tcW w:w="1376" w:type="dxa"/>
            <w:tcBorders>
              <w:top w:val="nil"/>
              <w:left w:val="nil"/>
              <w:bottom w:val="nil"/>
              <w:right w:val="nil"/>
            </w:tcBorders>
            <w:shd w:val="clear" w:color="auto" w:fill="auto"/>
            <w:noWrap/>
            <w:vAlign w:val="bottom"/>
            <w:hideMark/>
          </w:tcPr>
          <w:p w14:paraId="653F163D" w14:textId="351FC2F0" w:rsidR="008A1281" w:rsidRPr="00EA28CB" w:rsidRDefault="008A1281" w:rsidP="004320C0">
            <w:pPr>
              <w:spacing w:after="0" w:line="240" w:lineRule="auto"/>
            </w:pPr>
            <w:r w:rsidRPr="00EA28CB">
              <w:t>0.1</w:t>
            </w:r>
            <w:r w:rsidR="004D5992">
              <w:t>0</w:t>
            </w:r>
          </w:p>
        </w:tc>
        <w:tc>
          <w:tcPr>
            <w:tcW w:w="1557" w:type="dxa"/>
            <w:tcBorders>
              <w:top w:val="nil"/>
              <w:left w:val="nil"/>
              <w:bottom w:val="nil"/>
              <w:right w:val="nil"/>
            </w:tcBorders>
            <w:shd w:val="clear" w:color="auto" w:fill="auto"/>
            <w:noWrap/>
            <w:vAlign w:val="bottom"/>
            <w:hideMark/>
          </w:tcPr>
          <w:p w14:paraId="40451759"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359D8E78"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786F62F6" w14:textId="77777777" w:rsidR="008A1281" w:rsidRPr="00EA28CB" w:rsidRDefault="008A1281" w:rsidP="004320C0">
            <w:pPr>
              <w:spacing w:after="0" w:line="240" w:lineRule="auto"/>
            </w:pPr>
            <w:r w:rsidRPr="00EA28CB">
              <w:t>-0.02</w:t>
            </w:r>
          </w:p>
        </w:tc>
      </w:tr>
      <w:tr w:rsidR="008A1281" w:rsidRPr="00127E34" w14:paraId="71A866D6" w14:textId="77777777" w:rsidTr="006A68F1">
        <w:trPr>
          <w:trHeight w:val="300"/>
        </w:trPr>
        <w:tc>
          <w:tcPr>
            <w:tcW w:w="1751" w:type="dxa"/>
            <w:tcBorders>
              <w:top w:val="nil"/>
              <w:left w:val="nil"/>
              <w:bottom w:val="nil"/>
              <w:right w:val="nil"/>
            </w:tcBorders>
            <w:shd w:val="clear" w:color="auto" w:fill="auto"/>
            <w:noWrap/>
            <w:vAlign w:val="bottom"/>
            <w:hideMark/>
          </w:tcPr>
          <w:p w14:paraId="4D5D1C75" w14:textId="77777777" w:rsidR="008A1281" w:rsidRPr="00EA28CB" w:rsidRDefault="008A1281" w:rsidP="004320C0">
            <w:pPr>
              <w:spacing w:after="0" w:line="240" w:lineRule="auto"/>
            </w:pPr>
            <w:r w:rsidRPr="00EA28CB">
              <w:t>Ill-defined conditions</w:t>
            </w:r>
          </w:p>
        </w:tc>
        <w:tc>
          <w:tcPr>
            <w:tcW w:w="1226" w:type="dxa"/>
            <w:tcBorders>
              <w:top w:val="nil"/>
              <w:left w:val="nil"/>
              <w:bottom w:val="nil"/>
              <w:right w:val="nil"/>
            </w:tcBorders>
            <w:shd w:val="clear" w:color="auto" w:fill="auto"/>
            <w:noWrap/>
            <w:vAlign w:val="bottom"/>
            <w:hideMark/>
          </w:tcPr>
          <w:p w14:paraId="081985BB" w14:textId="77777777" w:rsidR="008A1281" w:rsidRPr="00EA28CB" w:rsidRDefault="008A1281" w:rsidP="004320C0">
            <w:pPr>
              <w:spacing w:after="0" w:line="240" w:lineRule="auto"/>
            </w:pPr>
            <w:r w:rsidRPr="00EA28CB">
              <w:t>0.51</w:t>
            </w:r>
          </w:p>
        </w:tc>
        <w:tc>
          <w:tcPr>
            <w:tcW w:w="1276" w:type="dxa"/>
            <w:tcBorders>
              <w:top w:val="nil"/>
              <w:left w:val="nil"/>
              <w:bottom w:val="nil"/>
              <w:right w:val="nil"/>
            </w:tcBorders>
            <w:shd w:val="clear" w:color="auto" w:fill="auto"/>
            <w:noWrap/>
            <w:vAlign w:val="bottom"/>
            <w:hideMark/>
          </w:tcPr>
          <w:p w14:paraId="562C0683" w14:textId="77777777" w:rsidR="008A1281" w:rsidRPr="00EA28CB" w:rsidRDefault="008A1281" w:rsidP="004320C0">
            <w:pPr>
              <w:spacing w:after="0" w:line="240" w:lineRule="auto"/>
            </w:pPr>
            <w:r w:rsidRPr="00EA28CB">
              <w:t>0.28</w:t>
            </w:r>
          </w:p>
        </w:tc>
        <w:tc>
          <w:tcPr>
            <w:tcW w:w="1376" w:type="dxa"/>
            <w:tcBorders>
              <w:top w:val="nil"/>
              <w:left w:val="nil"/>
              <w:bottom w:val="nil"/>
              <w:right w:val="nil"/>
            </w:tcBorders>
            <w:shd w:val="clear" w:color="auto" w:fill="auto"/>
            <w:noWrap/>
            <w:vAlign w:val="bottom"/>
            <w:hideMark/>
          </w:tcPr>
          <w:p w14:paraId="7202B68A" w14:textId="77777777" w:rsidR="008A1281" w:rsidRPr="00EA28CB" w:rsidRDefault="008A1281" w:rsidP="004320C0">
            <w:pPr>
              <w:spacing w:after="0" w:line="240" w:lineRule="auto"/>
            </w:pPr>
            <w:r w:rsidRPr="00EA28CB">
              <w:t>0.23</w:t>
            </w:r>
          </w:p>
        </w:tc>
        <w:tc>
          <w:tcPr>
            <w:tcW w:w="1557" w:type="dxa"/>
            <w:tcBorders>
              <w:top w:val="nil"/>
              <w:left w:val="nil"/>
              <w:bottom w:val="nil"/>
              <w:right w:val="nil"/>
            </w:tcBorders>
            <w:shd w:val="clear" w:color="auto" w:fill="auto"/>
            <w:noWrap/>
            <w:vAlign w:val="bottom"/>
            <w:hideMark/>
          </w:tcPr>
          <w:p w14:paraId="6D21BC00" w14:textId="77777777" w:rsidR="008A1281" w:rsidRPr="00EA28CB" w:rsidRDefault="008A1281" w:rsidP="004320C0">
            <w:pPr>
              <w:spacing w:after="0" w:line="240" w:lineRule="auto"/>
            </w:pPr>
            <w:r w:rsidRPr="00EA28CB">
              <w:t>0.11</w:t>
            </w:r>
          </w:p>
        </w:tc>
        <w:tc>
          <w:tcPr>
            <w:tcW w:w="1219" w:type="dxa"/>
            <w:tcBorders>
              <w:top w:val="nil"/>
              <w:left w:val="nil"/>
              <w:bottom w:val="nil"/>
              <w:right w:val="nil"/>
            </w:tcBorders>
            <w:shd w:val="clear" w:color="auto" w:fill="auto"/>
            <w:noWrap/>
            <w:vAlign w:val="bottom"/>
            <w:hideMark/>
          </w:tcPr>
          <w:p w14:paraId="42362D2F" w14:textId="77777777" w:rsidR="008A1281" w:rsidRPr="00EA28CB" w:rsidRDefault="008A1281" w:rsidP="004320C0">
            <w:pPr>
              <w:spacing w:after="0" w:line="240" w:lineRule="auto"/>
            </w:pPr>
            <w:r w:rsidRPr="00EA28CB">
              <w:t>-0.27</w:t>
            </w:r>
          </w:p>
        </w:tc>
        <w:tc>
          <w:tcPr>
            <w:tcW w:w="1219" w:type="dxa"/>
            <w:tcBorders>
              <w:top w:val="nil"/>
              <w:left w:val="nil"/>
              <w:bottom w:val="nil"/>
              <w:right w:val="nil"/>
            </w:tcBorders>
            <w:shd w:val="clear" w:color="auto" w:fill="auto"/>
            <w:noWrap/>
            <w:vAlign w:val="bottom"/>
            <w:hideMark/>
          </w:tcPr>
          <w:p w14:paraId="33702E2E" w14:textId="77777777" w:rsidR="008A1281" w:rsidRPr="00EA28CB" w:rsidRDefault="008A1281" w:rsidP="004320C0">
            <w:pPr>
              <w:spacing w:after="0" w:line="240" w:lineRule="auto"/>
            </w:pPr>
            <w:r w:rsidRPr="00EA28CB">
              <w:t>-0.17</w:t>
            </w:r>
          </w:p>
        </w:tc>
      </w:tr>
      <w:tr w:rsidR="008A1281" w:rsidRPr="00127E34" w14:paraId="25973E59" w14:textId="77777777" w:rsidTr="006A68F1">
        <w:trPr>
          <w:trHeight w:val="300"/>
        </w:trPr>
        <w:tc>
          <w:tcPr>
            <w:tcW w:w="1751" w:type="dxa"/>
            <w:tcBorders>
              <w:top w:val="nil"/>
              <w:left w:val="nil"/>
              <w:bottom w:val="nil"/>
              <w:right w:val="nil"/>
            </w:tcBorders>
            <w:shd w:val="clear" w:color="auto" w:fill="auto"/>
            <w:noWrap/>
            <w:vAlign w:val="bottom"/>
            <w:hideMark/>
          </w:tcPr>
          <w:p w14:paraId="647E0E8F" w14:textId="77777777" w:rsidR="008A1281" w:rsidRPr="00EA28CB" w:rsidRDefault="008A1281" w:rsidP="004320C0">
            <w:pPr>
              <w:spacing w:after="0" w:line="240" w:lineRule="auto"/>
            </w:pPr>
            <w:r w:rsidRPr="00EA28CB">
              <w:t>Weight gain</w:t>
            </w:r>
          </w:p>
        </w:tc>
        <w:tc>
          <w:tcPr>
            <w:tcW w:w="1226" w:type="dxa"/>
            <w:tcBorders>
              <w:top w:val="nil"/>
              <w:left w:val="nil"/>
              <w:bottom w:val="nil"/>
              <w:right w:val="nil"/>
            </w:tcBorders>
            <w:shd w:val="clear" w:color="auto" w:fill="auto"/>
            <w:noWrap/>
            <w:vAlign w:val="bottom"/>
            <w:hideMark/>
          </w:tcPr>
          <w:p w14:paraId="530176AA" w14:textId="77777777" w:rsidR="008A1281" w:rsidRPr="00EA28CB" w:rsidRDefault="008A1281" w:rsidP="004320C0">
            <w:pPr>
              <w:spacing w:after="0" w:line="240" w:lineRule="auto"/>
            </w:pPr>
            <w:r w:rsidRPr="00EA28CB">
              <w:t>0.18</w:t>
            </w:r>
          </w:p>
        </w:tc>
        <w:tc>
          <w:tcPr>
            <w:tcW w:w="1276" w:type="dxa"/>
            <w:tcBorders>
              <w:top w:val="nil"/>
              <w:left w:val="nil"/>
              <w:bottom w:val="nil"/>
              <w:right w:val="nil"/>
            </w:tcBorders>
            <w:shd w:val="clear" w:color="auto" w:fill="auto"/>
            <w:noWrap/>
            <w:vAlign w:val="bottom"/>
            <w:hideMark/>
          </w:tcPr>
          <w:p w14:paraId="7A32351E" w14:textId="713C4111" w:rsidR="008A1281" w:rsidRPr="00EA28CB" w:rsidRDefault="008A1281" w:rsidP="004320C0">
            <w:pPr>
              <w:spacing w:after="0" w:line="240" w:lineRule="auto"/>
            </w:pPr>
            <w:r w:rsidRPr="00EA28CB">
              <w:t>0.1</w:t>
            </w:r>
            <w:r w:rsidR="004D5992">
              <w:t>0</w:t>
            </w:r>
          </w:p>
        </w:tc>
        <w:tc>
          <w:tcPr>
            <w:tcW w:w="1376" w:type="dxa"/>
            <w:tcBorders>
              <w:top w:val="nil"/>
              <w:left w:val="nil"/>
              <w:bottom w:val="nil"/>
              <w:right w:val="nil"/>
            </w:tcBorders>
            <w:shd w:val="clear" w:color="auto" w:fill="auto"/>
            <w:noWrap/>
            <w:vAlign w:val="bottom"/>
            <w:hideMark/>
          </w:tcPr>
          <w:p w14:paraId="732CA62C" w14:textId="77777777" w:rsidR="008A1281" w:rsidRPr="00EA28CB" w:rsidRDefault="008A1281" w:rsidP="004320C0">
            <w:pPr>
              <w:spacing w:after="0" w:line="240" w:lineRule="auto"/>
            </w:pPr>
            <w:r w:rsidRPr="00EA28CB">
              <w:t>0.08</w:t>
            </w:r>
          </w:p>
        </w:tc>
        <w:tc>
          <w:tcPr>
            <w:tcW w:w="1557" w:type="dxa"/>
            <w:tcBorders>
              <w:top w:val="nil"/>
              <w:left w:val="nil"/>
              <w:bottom w:val="nil"/>
              <w:right w:val="nil"/>
            </w:tcBorders>
            <w:shd w:val="clear" w:color="auto" w:fill="auto"/>
            <w:noWrap/>
            <w:vAlign w:val="bottom"/>
            <w:hideMark/>
          </w:tcPr>
          <w:p w14:paraId="12EFE3F1" w14:textId="77777777" w:rsidR="008A1281" w:rsidRPr="00EA28CB" w:rsidRDefault="008A1281" w:rsidP="004320C0">
            <w:pPr>
              <w:spacing w:after="0" w:line="240" w:lineRule="auto"/>
            </w:pPr>
            <w:r w:rsidRPr="00EA28CB">
              <w:t>0.03</w:t>
            </w:r>
          </w:p>
        </w:tc>
        <w:tc>
          <w:tcPr>
            <w:tcW w:w="1219" w:type="dxa"/>
            <w:tcBorders>
              <w:top w:val="nil"/>
              <w:left w:val="nil"/>
              <w:bottom w:val="nil"/>
              <w:right w:val="nil"/>
            </w:tcBorders>
            <w:shd w:val="clear" w:color="auto" w:fill="auto"/>
            <w:noWrap/>
            <w:vAlign w:val="bottom"/>
            <w:hideMark/>
          </w:tcPr>
          <w:p w14:paraId="18085511" w14:textId="70B7465B" w:rsidR="008A1281" w:rsidRPr="00EA28CB" w:rsidRDefault="008A1281" w:rsidP="004320C0">
            <w:pPr>
              <w:spacing w:after="0" w:line="240" w:lineRule="auto"/>
            </w:pPr>
            <w:r w:rsidRPr="00EA28CB">
              <w:t>-0.1</w:t>
            </w:r>
            <w:r w:rsidR="004D5992">
              <w:t>0</w:t>
            </w:r>
          </w:p>
        </w:tc>
        <w:tc>
          <w:tcPr>
            <w:tcW w:w="1219" w:type="dxa"/>
            <w:tcBorders>
              <w:top w:val="nil"/>
              <w:left w:val="nil"/>
              <w:bottom w:val="nil"/>
              <w:right w:val="nil"/>
            </w:tcBorders>
            <w:shd w:val="clear" w:color="auto" w:fill="auto"/>
            <w:noWrap/>
            <w:vAlign w:val="bottom"/>
            <w:hideMark/>
          </w:tcPr>
          <w:p w14:paraId="12B42FB7" w14:textId="77777777" w:rsidR="008A1281" w:rsidRPr="00EA28CB" w:rsidRDefault="008A1281" w:rsidP="004320C0">
            <w:pPr>
              <w:spacing w:after="0" w:line="240" w:lineRule="auto"/>
            </w:pPr>
            <w:r w:rsidRPr="00EA28CB">
              <w:t>-0.07</w:t>
            </w:r>
          </w:p>
        </w:tc>
      </w:tr>
      <w:tr w:rsidR="008A1281" w:rsidRPr="00127E34" w14:paraId="7E75F9C6" w14:textId="77777777" w:rsidTr="006A68F1">
        <w:trPr>
          <w:trHeight w:val="300"/>
        </w:trPr>
        <w:tc>
          <w:tcPr>
            <w:tcW w:w="1751" w:type="dxa"/>
            <w:tcBorders>
              <w:top w:val="nil"/>
              <w:left w:val="nil"/>
              <w:bottom w:val="nil"/>
              <w:right w:val="nil"/>
            </w:tcBorders>
            <w:shd w:val="clear" w:color="auto" w:fill="auto"/>
            <w:noWrap/>
            <w:vAlign w:val="bottom"/>
            <w:hideMark/>
          </w:tcPr>
          <w:p w14:paraId="363F9F05" w14:textId="77777777" w:rsidR="008A1281" w:rsidRPr="00EA28CB" w:rsidRDefault="008A1281" w:rsidP="004320C0">
            <w:pPr>
              <w:spacing w:after="0" w:line="240" w:lineRule="auto"/>
            </w:pPr>
            <w:r w:rsidRPr="00EA28CB">
              <w:t>Weight loss</w:t>
            </w:r>
          </w:p>
        </w:tc>
        <w:tc>
          <w:tcPr>
            <w:tcW w:w="1226" w:type="dxa"/>
            <w:tcBorders>
              <w:top w:val="nil"/>
              <w:left w:val="nil"/>
              <w:bottom w:val="nil"/>
              <w:right w:val="nil"/>
            </w:tcBorders>
            <w:shd w:val="clear" w:color="auto" w:fill="auto"/>
            <w:noWrap/>
            <w:vAlign w:val="bottom"/>
            <w:hideMark/>
          </w:tcPr>
          <w:p w14:paraId="41C44F9E" w14:textId="555E23A8" w:rsidR="008A1281" w:rsidRPr="00EA28CB" w:rsidRDefault="008A1281" w:rsidP="004320C0">
            <w:pPr>
              <w:spacing w:after="0" w:line="240" w:lineRule="auto"/>
            </w:pPr>
            <w:r w:rsidRPr="00EA28CB">
              <w:t>0.9</w:t>
            </w:r>
            <w:r w:rsidR="00B25D8B">
              <w:t>0</w:t>
            </w:r>
          </w:p>
        </w:tc>
        <w:tc>
          <w:tcPr>
            <w:tcW w:w="1276" w:type="dxa"/>
            <w:tcBorders>
              <w:top w:val="nil"/>
              <w:left w:val="nil"/>
              <w:bottom w:val="nil"/>
              <w:right w:val="nil"/>
            </w:tcBorders>
            <w:shd w:val="clear" w:color="auto" w:fill="auto"/>
            <w:noWrap/>
            <w:vAlign w:val="bottom"/>
            <w:hideMark/>
          </w:tcPr>
          <w:p w14:paraId="232F4135" w14:textId="77777777" w:rsidR="008A1281" w:rsidRPr="00EA28CB" w:rsidRDefault="008A1281" w:rsidP="004320C0">
            <w:pPr>
              <w:spacing w:after="0" w:line="240" w:lineRule="auto"/>
            </w:pPr>
            <w:r w:rsidRPr="00EA28CB">
              <w:t>0.35</w:t>
            </w:r>
          </w:p>
        </w:tc>
        <w:tc>
          <w:tcPr>
            <w:tcW w:w="1376" w:type="dxa"/>
            <w:tcBorders>
              <w:top w:val="nil"/>
              <w:left w:val="nil"/>
              <w:bottom w:val="nil"/>
              <w:right w:val="nil"/>
            </w:tcBorders>
            <w:shd w:val="clear" w:color="auto" w:fill="auto"/>
            <w:noWrap/>
            <w:vAlign w:val="bottom"/>
            <w:hideMark/>
          </w:tcPr>
          <w:p w14:paraId="66E55BCD" w14:textId="77777777" w:rsidR="008A1281" w:rsidRPr="00EA28CB" w:rsidRDefault="008A1281" w:rsidP="004320C0">
            <w:pPr>
              <w:spacing w:after="0" w:line="240" w:lineRule="auto"/>
            </w:pPr>
            <w:r w:rsidRPr="00EA28CB">
              <w:t>0.59</w:t>
            </w:r>
          </w:p>
        </w:tc>
        <w:tc>
          <w:tcPr>
            <w:tcW w:w="1557" w:type="dxa"/>
            <w:tcBorders>
              <w:top w:val="nil"/>
              <w:left w:val="nil"/>
              <w:bottom w:val="nil"/>
              <w:right w:val="nil"/>
            </w:tcBorders>
            <w:shd w:val="clear" w:color="auto" w:fill="auto"/>
            <w:noWrap/>
            <w:vAlign w:val="bottom"/>
            <w:hideMark/>
          </w:tcPr>
          <w:p w14:paraId="07FFC79B" w14:textId="77777777" w:rsidR="008A1281" w:rsidRPr="00EA28CB" w:rsidRDefault="008A1281" w:rsidP="004320C0">
            <w:pPr>
              <w:spacing w:after="0" w:line="240" w:lineRule="auto"/>
            </w:pPr>
            <w:r w:rsidRPr="00EA28CB">
              <w:t>0.13</w:t>
            </w:r>
          </w:p>
        </w:tc>
        <w:tc>
          <w:tcPr>
            <w:tcW w:w="1219" w:type="dxa"/>
            <w:tcBorders>
              <w:top w:val="nil"/>
              <w:left w:val="nil"/>
              <w:bottom w:val="nil"/>
              <w:right w:val="nil"/>
            </w:tcBorders>
            <w:shd w:val="clear" w:color="auto" w:fill="auto"/>
            <w:noWrap/>
            <w:vAlign w:val="bottom"/>
            <w:hideMark/>
          </w:tcPr>
          <w:p w14:paraId="7A9929A5" w14:textId="421315E8" w:rsidR="008A1281" w:rsidRPr="00EA28CB" w:rsidRDefault="008A1281" w:rsidP="004320C0">
            <w:pPr>
              <w:spacing w:after="0" w:line="240" w:lineRule="auto"/>
            </w:pPr>
            <w:r w:rsidRPr="00EA28CB">
              <w:t>-0.3</w:t>
            </w:r>
            <w:r w:rsidR="004D5992">
              <w:t>0</w:t>
            </w:r>
          </w:p>
        </w:tc>
        <w:tc>
          <w:tcPr>
            <w:tcW w:w="1219" w:type="dxa"/>
            <w:tcBorders>
              <w:top w:val="nil"/>
              <w:left w:val="nil"/>
              <w:bottom w:val="nil"/>
              <w:right w:val="nil"/>
            </w:tcBorders>
            <w:shd w:val="clear" w:color="auto" w:fill="auto"/>
            <w:noWrap/>
            <w:vAlign w:val="bottom"/>
            <w:hideMark/>
          </w:tcPr>
          <w:p w14:paraId="60DFA2D0" w14:textId="77777777" w:rsidR="008A1281" w:rsidRPr="00EA28CB" w:rsidRDefault="008A1281" w:rsidP="004320C0">
            <w:pPr>
              <w:spacing w:after="0" w:line="240" w:lineRule="auto"/>
            </w:pPr>
            <w:r w:rsidRPr="00EA28CB">
              <w:t>-0.23</w:t>
            </w:r>
          </w:p>
        </w:tc>
      </w:tr>
      <w:tr w:rsidR="008A1281" w:rsidRPr="00127E34" w14:paraId="11A15416" w14:textId="77777777" w:rsidTr="006A68F1">
        <w:trPr>
          <w:trHeight w:val="300"/>
        </w:trPr>
        <w:tc>
          <w:tcPr>
            <w:tcW w:w="1751" w:type="dxa"/>
            <w:tcBorders>
              <w:top w:val="nil"/>
              <w:left w:val="nil"/>
              <w:bottom w:val="nil"/>
              <w:right w:val="nil"/>
            </w:tcBorders>
            <w:shd w:val="clear" w:color="auto" w:fill="auto"/>
            <w:noWrap/>
            <w:vAlign w:val="bottom"/>
            <w:hideMark/>
          </w:tcPr>
          <w:p w14:paraId="0EFC1692" w14:textId="77777777" w:rsidR="008A1281" w:rsidRPr="00EA28CB" w:rsidRDefault="008A1281" w:rsidP="004320C0">
            <w:pPr>
              <w:spacing w:after="0" w:line="240" w:lineRule="auto"/>
            </w:pPr>
            <w:r w:rsidRPr="00EA28CB">
              <w:t>Work stress</w:t>
            </w:r>
          </w:p>
        </w:tc>
        <w:tc>
          <w:tcPr>
            <w:tcW w:w="1226" w:type="dxa"/>
            <w:tcBorders>
              <w:top w:val="nil"/>
              <w:left w:val="nil"/>
              <w:bottom w:val="nil"/>
              <w:right w:val="nil"/>
            </w:tcBorders>
            <w:shd w:val="clear" w:color="auto" w:fill="auto"/>
            <w:noWrap/>
            <w:vAlign w:val="bottom"/>
            <w:hideMark/>
          </w:tcPr>
          <w:p w14:paraId="77FA9968" w14:textId="77777777" w:rsidR="008A1281" w:rsidRPr="00EA28CB" w:rsidRDefault="008A1281" w:rsidP="004320C0">
            <w:pPr>
              <w:spacing w:after="0" w:line="240" w:lineRule="auto"/>
            </w:pPr>
            <w:r w:rsidRPr="00EA28CB">
              <w:t>0.08</w:t>
            </w:r>
          </w:p>
        </w:tc>
        <w:tc>
          <w:tcPr>
            <w:tcW w:w="1276" w:type="dxa"/>
            <w:tcBorders>
              <w:top w:val="nil"/>
              <w:left w:val="nil"/>
              <w:bottom w:val="nil"/>
              <w:right w:val="nil"/>
            </w:tcBorders>
            <w:shd w:val="clear" w:color="auto" w:fill="auto"/>
            <w:noWrap/>
            <w:vAlign w:val="bottom"/>
            <w:hideMark/>
          </w:tcPr>
          <w:p w14:paraId="63DC17BA" w14:textId="77777777" w:rsidR="008A1281" w:rsidRPr="00EA28CB" w:rsidRDefault="008A1281" w:rsidP="004320C0">
            <w:pPr>
              <w:spacing w:after="0" w:line="240" w:lineRule="auto"/>
            </w:pPr>
            <w:r w:rsidRPr="00EA28CB">
              <w:t>0.02</w:t>
            </w:r>
          </w:p>
        </w:tc>
        <w:tc>
          <w:tcPr>
            <w:tcW w:w="1376" w:type="dxa"/>
            <w:tcBorders>
              <w:top w:val="nil"/>
              <w:left w:val="nil"/>
              <w:bottom w:val="nil"/>
              <w:right w:val="nil"/>
            </w:tcBorders>
            <w:shd w:val="clear" w:color="auto" w:fill="auto"/>
            <w:noWrap/>
            <w:vAlign w:val="bottom"/>
            <w:hideMark/>
          </w:tcPr>
          <w:p w14:paraId="0D87189C" w14:textId="77777777" w:rsidR="008A1281" w:rsidRPr="00EA28CB" w:rsidRDefault="008A1281" w:rsidP="004320C0">
            <w:pPr>
              <w:spacing w:after="0" w:line="240" w:lineRule="auto"/>
            </w:pPr>
            <w:r w:rsidRPr="00EA28CB">
              <w:t>0.06</w:t>
            </w:r>
          </w:p>
        </w:tc>
        <w:tc>
          <w:tcPr>
            <w:tcW w:w="1557" w:type="dxa"/>
            <w:tcBorders>
              <w:top w:val="nil"/>
              <w:left w:val="nil"/>
              <w:bottom w:val="nil"/>
              <w:right w:val="nil"/>
            </w:tcBorders>
            <w:shd w:val="clear" w:color="auto" w:fill="auto"/>
            <w:noWrap/>
            <w:vAlign w:val="bottom"/>
            <w:hideMark/>
          </w:tcPr>
          <w:p w14:paraId="12C7CA94"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15B34232" w14:textId="77777777" w:rsidR="008A1281" w:rsidRPr="00EA28CB" w:rsidRDefault="008A1281" w:rsidP="004320C0">
            <w:pPr>
              <w:spacing w:after="0" w:line="240" w:lineRule="auto"/>
            </w:pPr>
            <w:r w:rsidRPr="00EA28CB">
              <w:t>-0.02</w:t>
            </w:r>
          </w:p>
        </w:tc>
        <w:tc>
          <w:tcPr>
            <w:tcW w:w="1219" w:type="dxa"/>
            <w:tcBorders>
              <w:top w:val="nil"/>
              <w:left w:val="nil"/>
              <w:bottom w:val="nil"/>
              <w:right w:val="nil"/>
            </w:tcBorders>
            <w:shd w:val="clear" w:color="auto" w:fill="auto"/>
            <w:noWrap/>
            <w:vAlign w:val="bottom"/>
            <w:hideMark/>
          </w:tcPr>
          <w:p w14:paraId="18FF3502" w14:textId="77777777" w:rsidR="008A1281" w:rsidRPr="00EA28CB" w:rsidRDefault="008A1281" w:rsidP="004320C0">
            <w:pPr>
              <w:spacing w:after="0" w:line="240" w:lineRule="auto"/>
            </w:pPr>
            <w:r w:rsidRPr="00EA28CB">
              <w:t>-0.01</w:t>
            </w:r>
          </w:p>
        </w:tc>
      </w:tr>
      <w:tr w:rsidR="008A1281" w:rsidRPr="00127E34" w14:paraId="5505F574" w14:textId="77777777" w:rsidTr="006A68F1">
        <w:trPr>
          <w:trHeight w:val="300"/>
        </w:trPr>
        <w:tc>
          <w:tcPr>
            <w:tcW w:w="1751" w:type="dxa"/>
            <w:tcBorders>
              <w:top w:val="nil"/>
              <w:left w:val="nil"/>
              <w:bottom w:val="nil"/>
              <w:right w:val="nil"/>
            </w:tcBorders>
            <w:shd w:val="clear" w:color="auto" w:fill="auto"/>
            <w:noWrap/>
            <w:vAlign w:val="bottom"/>
            <w:hideMark/>
          </w:tcPr>
          <w:p w14:paraId="752398F8" w14:textId="77777777" w:rsidR="008A1281" w:rsidRPr="00EA28CB" w:rsidRDefault="008A1281" w:rsidP="004320C0">
            <w:pPr>
              <w:spacing w:after="0" w:line="240" w:lineRule="auto"/>
            </w:pPr>
            <w:r w:rsidRPr="00EA28CB">
              <w:t>Carer</w:t>
            </w:r>
          </w:p>
        </w:tc>
        <w:tc>
          <w:tcPr>
            <w:tcW w:w="1226" w:type="dxa"/>
            <w:tcBorders>
              <w:top w:val="nil"/>
              <w:left w:val="nil"/>
              <w:bottom w:val="nil"/>
              <w:right w:val="nil"/>
            </w:tcBorders>
            <w:shd w:val="clear" w:color="auto" w:fill="auto"/>
            <w:noWrap/>
            <w:vAlign w:val="bottom"/>
            <w:hideMark/>
          </w:tcPr>
          <w:p w14:paraId="71B05F25" w14:textId="77777777" w:rsidR="008A1281" w:rsidRPr="00EA28CB" w:rsidRDefault="008A1281" w:rsidP="004320C0">
            <w:pPr>
              <w:spacing w:after="0" w:line="240" w:lineRule="auto"/>
            </w:pPr>
            <w:r w:rsidRPr="00EA28CB">
              <w:t>0.08</w:t>
            </w:r>
          </w:p>
        </w:tc>
        <w:tc>
          <w:tcPr>
            <w:tcW w:w="1276" w:type="dxa"/>
            <w:tcBorders>
              <w:top w:val="nil"/>
              <w:left w:val="nil"/>
              <w:bottom w:val="nil"/>
              <w:right w:val="nil"/>
            </w:tcBorders>
            <w:shd w:val="clear" w:color="auto" w:fill="auto"/>
            <w:noWrap/>
            <w:vAlign w:val="bottom"/>
            <w:hideMark/>
          </w:tcPr>
          <w:p w14:paraId="163F14CA" w14:textId="77777777" w:rsidR="008A1281" w:rsidRPr="00EA28CB" w:rsidRDefault="008A1281" w:rsidP="004320C0">
            <w:pPr>
              <w:spacing w:after="0" w:line="240" w:lineRule="auto"/>
            </w:pPr>
            <w:r w:rsidRPr="00EA28CB">
              <w:t>0.06</w:t>
            </w:r>
          </w:p>
        </w:tc>
        <w:tc>
          <w:tcPr>
            <w:tcW w:w="1376" w:type="dxa"/>
            <w:tcBorders>
              <w:top w:val="nil"/>
              <w:left w:val="nil"/>
              <w:bottom w:val="nil"/>
              <w:right w:val="nil"/>
            </w:tcBorders>
            <w:shd w:val="clear" w:color="auto" w:fill="auto"/>
            <w:noWrap/>
            <w:vAlign w:val="bottom"/>
            <w:hideMark/>
          </w:tcPr>
          <w:p w14:paraId="0D0D5716" w14:textId="77777777" w:rsidR="008A1281" w:rsidRPr="00EA28CB" w:rsidRDefault="008A1281" w:rsidP="004320C0">
            <w:pPr>
              <w:spacing w:after="0" w:line="240" w:lineRule="auto"/>
            </w:pPr>
            <w:r w:rsidRPr="00EA28CB">
              <w:t>0.23</w:t>
            </w:r>
          </w:p>
        </w:tc>
        <w:tc>
          <w:tcPr>
            <w:tcW w:w="1557" w:type="dxa"/>
            <w:tcBorders>
              <w:top w:val="nil"/>
              <w:left w:val="nil"/>
              <w:bottom w:val="nil"/>
              <w:right w:val="nil"/>
            </w:tcBorders>
            <w:shd w:val="clear" w:color="auto" w:fill="auto"/>
            <w:noWrap/>
            <w:vAlign w:val="bottom"/>
            <w:hideMark/>
          </w:tcPr>
          <w:p w14:paraId="53D2A854" w14:textId="77777777" w:rsidR="008A1281" w:rsidRPr="00EA28CB" w:rsidRDefault="008A1281" w:rsidP="004320C0">
            <w:pPr>
              <w:spacing w:after="0" w:line="240" w:lineRule="auto"/>
            </w:pPr>
            <w:r w:rsidRPr="00EA28CB">
              <w:t>0.07</w:t>
            </w:r>
          </w:p>
        </w:tc>
        <w:tc>
          <w:tcPr>
            <w:tcW w:w="1219" w:type="dxa"/>
            <w:tcBorders>
              <w:top w:val="nil"/>
              <w:left w:val="nil"/>
              <w:bottom w:val="nil"/>
              <w:right w:val="nil"/>
            </w:tcBorders>
            <w:shd w:val="clear" w:color="auto" w:fill="auto"/>
            <w:noWrap/>
            <w:vAlign w:val="bottom"/>
            <w:hideMark/>
          </w:tcPr>
          <w:p w14:paraId="53908757" w14:textId="77777777" w:rsidR="008A1281" w:rsidRPr="00EA28CB" w:rsidRDefault="008A1281" w:rsidP="004320C0">
            <w:pPr>
              <w:spacing w:after="0" w:line="240" w:lineRule="auto"/>
            </w:pPr>
            <w:r w:rsidRPr="00EA28CB">
              <w:t>0.15</w:t>
            </w:r>
          </w:p>
        </w:tc>
        <w:tc>
          <w:tcPr>
            <w:tcW w:w="1219" w:type="dxa"/>
            <w:tcBorders>
              <w:top w:val="nil"/>
              <w:left w:val="nil"/>
              <w:bottom w:val="nil"/>
              <w:right w:val="nil"/>
            </w:tcBorders>
            <w:shd w:val="clear" w:color="auto" w:fill="auto"/>
            <w:noWrap/>
            <w:vAlign w:val="bottom"/>
            <w:hideMark/>
          </w:tcPr>
          <w:p w14:paraId="6AA4F2DD" w14:textId="77777777" w:rsidR="008A1281" w:rsidRPr="00EA28CB" w:rsidRDefault="008A1281" w:rsidP="004320C0">
            <w:pPr>
              <w:spacing w:after="0" w:line="240" w:lineRule="auto"/>
            </w:pPr>
            <w:r w:rsidRPr="00EA28CB">
              <w:t>0.01</w:t>
            </w:r>
          </w:p>
        </w:tc>
      </w:tr>
      <w:tr w:rsidR="008A1281" w:rsidRPr="00127E34" w14:paraId="68489263" w14:textId="77777777" w:rsidTr="006A68F1">
        <w:trPr>
          <w:trHeight w:val="300"/>
        </w:trPr>
        <w:tc>
          <w:tcPr>
            <w:tcW w:w="1751" w:type="dxa"/>
            <w:tcBorders>
              <w:top w:val="nil"/>
              <w:left w:val="nil"/>
              <w:bottom w:val="nil"/>
              <w:right w:val="nil"/>
            </w:tcBorders>
            <w:shd w:val="clear" w:color="auto" w:fill="auto"/>
            <w:noWrap/>
            <w:vAlign w:val="bottom"/>
            <w:hideMark/>
          </w:tcPr>
          <w:p w14:paraId="60A655EE" w14:textId="77777777" w:rsidR="008A1281" w:rsidRPr="00EA28CB" w:rsidRDefault="008A1281" w:rsidP="004320C0">
            <w:pPr>
              <w:spacing w:after="0" w:line="240" w:lineRule="auto"/>
            </w:pPr>
            <w:r w:rsidRPr="00EA28CB">
              <w:t>Smoker</w:t>
            </w:r>
          </w:p>
        </w:tc>
        <w:tc>
          <w:tcPr>
            <w:tcW w:w="1226" w:type="dxa"/>
            <w:tcBorders>
              <w:top w:val="nil"/>
              <w:left w:val="nil"/>
              <w:bottom w:val="nil"/>
              <w:right w:val="nil"/>
            </w:tcBorders>
            <w:shd w:val="clear" w:color="auto" w:fill="auto"/>
            <w:noWrap/>
            <w:vAlign w:val="bottom"/>
            <w:hideMark/>
          </w:tcPr>
          <w:p w14:paraId="683B6FCA" w14:textId="77777777" w:rsidR="008A1281" w:rsidRPr="00EA28CB" w:rsidRDefault="008A1281" w:rsidP="004320C0">
            <w:pPr>
              <w:spacing w:after="0" w:line="240" w:lineRule="auto"/>
            </w:pPr>
            <w:r w:rsidRPr="00EA28CB">
              <w:t>38.12</w:t>
            </w:r>
          </w:p>
        </w:tc>
        <w:tc>
          <w:tcPr>
            <w:tcW w:w="1276" w:type="dxa"/>
            <w:tcBorders>
              <w:top w:val="nil"/>
              <w:left w:val="nil"/>
              <w:bottom w:val="nil"/>
              <w:right w:val="nil"/>
            </w:tcBorders>
            <w:shd w:val="clear" w:color="auto" w:fill="auto"/>
            <w:noWrap/>
            <w:vAlign w:val="bottom"/>
            <w:hideMark/>
          </w:tcPr>
          <w:p w14:paraId="4B3C7A8A" w14:textId="77777777" w:rsidR="008A1281" w:rsidRPr="00EA28CB" w:rsidRDefault="008A1281" w:rsidP="004320C0">
            <w:pPr>
              <w:spacing w:after="0" w:line="240" w:lineRule="auto"/>
            </w:pPr>
            <w:r w:rsidRPr="00EA28CB">
              <w:t>24.2</w:t>
            </w:r>
          </w:p>
        </w:tc>
        <w:tc>
          <w:tcPr>
            <w:tcW w:w="1376" w:type="dxa"/>
            <w:tcBorders>
              <w:top w:val="nil"/>
              <w:left w:val="nil"/>
              <w:bottom w:val="nil"/>
              <w:right w:val="nil"/>
            </w:tcBorders>
            <w:shd w:val="clear" w:color="auto" w:fill="auto"/>
            <w:noWrap/>
            <w:vAlign w:val="bottom"/>
            <w:hideMark/>
          </w:tcPr>
          <w:p w14:paraId="6A35D805" w14:textId="77777777" w:rsidR="008A1281" w:rsidRPr="00EA28CB" w:rsidRDefault="008A1281" w:rsidP="004320C0">
            <w:pPr>
              <w:spacing w:after="0" w:line="240" w:lineRule="auto"/>
            </w:pPr>
            <w:r w:rsidRPr="00EA28CB">
              <w:t>23.9</w:t>
            </w:r>
          </w:p>
        </w:tc>
        <w:tc>
          <w:tcPr>
            <w:tcW w:w="1557" w:type="dxa"/>
            <w:tcBorders>
              <w:top w:val="nil"/>
              <w:left w:val="nil"/>
              <w:bottom w:val="nil"/>
              <w:right w:val="nil"/>
            </w:tcBorders>
            <w:shd w:val="clear" w:color="auto" w:fill="auto"/>
            <w:noWrap/>
            <w:vAlign w:val="bottom"/>
            <w:hideMark/>
          </w:tcPr>
          <w:p w14:paraId="2EAD3A7E" w14:textId="77777777" w:rsidR="008A1281" w:rsidRPr="00EA28CB" w:rsidRDefault="008A1281" w:rsidP="004320C0">
            <w:pPr>
              <w:spacing w:after="0" w:line="240" w:lineRule="auto"/>
            </w:pPr>
            <w:r w:rsidRPr="00EA28CB">
              <w:t>7.04</w:t>
            </w:r>
          </w:p>
        </w:tc>
        <w:tc>
          <w:tcPr>
            <w:tcW w:w="1219" w:type="dxa"/>
            <w:tcBorders>
              <w:top w:val="nil"/>
              <w:left w:val="nil"/>
              <w:bottom w:val="nil"/>
              <w:right w:val="nil"/>
            </w:tcBorders>
            <w:shd w:val="clear" w:color="auto" w:fill="auto"/>
            <w:noWrap/>
            <w:vAlign w:val="bottom"/>
            <w:hideMark/>
          </w:tcPr>
          <w:p w14:paraId="46A9C538" w14:textId="77777777" w:rsidR="008A1281" w:rsidRPr="00EA28CB" w:rsidRDefault="008A1281" w:rsidP="004320C0">
            <w:pPr>
              <w:spacing w:after="0" w:line="240" w:lineRule="auto"/>
            </w:pPr>
            <w:r w:rsidRPr="00EA28CB">
              <w:t>-14.22</w:t>
            </w:r>
          </w:p>
        </w:tc>
        <w:tc>
          <w:tcPr>
            <w:tcW w:w="1219" w:type="dxa"/>
            <w:tcBorders>
              <w:top w:val="nil"/>
              <w:left w:val="nil"/>
              <w:bottom w:val="nil"/>
              <w:right w:val="nil"/>
            </w:tcBorders>
            <w:shd w:val="clear" w:color="auto" w:fill="auto"/>
            <w:noWrap/>
            <w:vAlign w:val="bottom"/>
            <w:hideMark/>
          </w:tcPr>
          <w:p w14:paraId="79FFE030" w14:textId="77777777" w:rsidR="008A1281" w:rsidRPr="00EA28CB" w:rsidRDefault="008A1281" w:rsidP="004320C0">
            <w:pPr>
              <w:spacing w:after="0" w:line="240" w:lineRule="auto"/>
            </w:pPr>
            <w:r w:rsidRPr="00EA28CB">
              <w:t>-17.17</w:t>
            </w:r>
          </w:p>
        </w:tc>
      </w:tr>
      <w:tr w:rsidR="008A1281" w:rsidRPr="00127E34" w14:paraId="01E63AD7" w14:textId="77777777" w:rsidTr="006A68F1">
        <w:trPr>
          <w:trHeight w:val="300"/>
        </w:trPr>
        <w:tc>
          <w:tcPr>
            <w:tcW w:w="1751" w:type="dxa"/>
            <w:tcBorders>
              <w:top w:val="nil"/>
              <w:left w:val="nil"/>
              <w:bottom w:val="nil"/>
              <w:right w:val="nil"/>
            </w:tcBorders>
            <w:shd w:val="clear" w:color="auto" w:fill="auto"/>
            <w:noWrap/>
            <w:vAlign w:val="bottom"/>
            <w:hideMark/>
          </w:tcPr>
          <w:p w14:paraId="4324D108" w14:textId="77777777" w:rsidR="008A1281" w:rsidRPr="00EA28CB" w:rsidRDefault="008A1281" w:rsidP="004320C0">
            <w:pPr>
              <w:spacing w:after="0" w:line="240" w:lineRule="auto"/>
            </w:pPr>
            <w:r w:rsidRPr="00EA28CB">
              <w:t>Missing (smoker data)</w:t>
            </w:r>
          </w:p>
        </w:tc>
        <w:tc>
          <w:tcPr>
            <w:tcW w:w="1226" w:type="dxa"/>
            <w:tcBorders>
              <w:top w:val="nil"/>
              <w:left w:val="nil"/>
              <w:bottom w:val="nil"/>
              <w:right w:val="nil"/>
            </w:tcBorders>
            <w:shd w:val="clear" w:color="auto" w:fill="auto"/>
            <w:noWrap/>
            <w:vAlign w:val="bottom"/>
            <w:hideMark/>
          </w:tcPr>
          <w:p w14:paraId="7673FD6A" w14:textId="77777777" w:rsidR="008A1281" w:rsidRPr="00EA28CB" w:rsidRDefault="008A1281" w:rsidP="004320C0">
            <w:pPr>
              <w:spacing w:after="0" w:line="240" w:lineRule="auto"/>
            </w:pPr>
            <w:r w:rsidRPr="00EA28CB">
              <w:t>15.29</w:t>
            </w:r>
          </w:p>
        </w:tc>
        <w:tc>
          <w:tcPr>
            <w:tcW w:w="1276" w:type="dxa"/>
            <w:tcBorders>
              <w:top w:val="nil"/>
              <w:left w:val="nil"/>
              <w:bottom w:val="nil"/>
              <w:right w:val="nil"/>
            </w:tcBorders>
            <w:shd w:val="clear" w:color="auto" w:fill="auto"/>
            <w:noWrap/>
            <w:vAlign w:val="bottom"/>
            <w:hideMark/>
          </w:tcPr>
          <w:p w14:paraId="5ACDBFB8" w14:textId="77777777" w:rsidR="008A1281" w:rsidRPr="00EA28CB" w:rsidRDefault="008A1281" w:rsidP="004320C0">
            <w:pPr>
              <w:spacing w:after="0" w:line="240" w:lineRule="auto"/>
            </w:pPr>
            <w:r w:rsidRPr="00EA28CB">
              <w:t>22.93</w:t>
            </w:r>
          </w:p>
        </w:tc>
        <w:tc>
          <w:tcPr>
            <w:tcW w:w="1376" w:type="dxa"/>
            <w:tcBorders>
              <w:top w:val="nil"/>
              <w:left w:val="nil"/>
              <w:bottom w:val="nil"/>
              <w:right w:val="nil"/>
            </w:tcBorders>
            <w:shd w:val="clear" w:color="auto" w:fill="auto"/>
            <w:noWrap/>
            <w:vAlign w:val="bottom"/>
            <w:hideMark/>
          </w:tcPr>
          <w:p w14:paraId="2240EB8F" w14:textId="77777777" w:rsidR="008A1281" w:rsidRPr="00EA28CB" w:rsidRDefault="008A1281" w:rsidP="004320C0">
            <w:pPr>
              <w:spacing w:after="0" w:line="240" w:lineRule="auto"/>
            </w:pPr>
            <w:r w:rsidRPr="00EA28CB">
              <w:t>12.39</w:t>
            </w:r>
          </w:p>
        </w:tc>
        <w:tc>
          <w:tcPr>
            <w:tcW w:w="1557" w:type="dxa"/>
            <w:tcBorders>
              <w:top w:val="nil"/>
              <w:left w:val="nil"/>
              <w:bottom w:val="nil"/>
              <w:right w:val="nil"/>
            </w:tcBorders>
            <w:shd w:val="clear" w:color="auto" w:fill="auto"/>
            <w:noWrap/>
            <w:vAlign w:val="bottom"/>
            <w:hideMark/>
          </w:tcPr>
          <w:p w14:paraId="2F998E23" w14:textId="7842C8D6" w:rsidR="008A1281" w:rsidRPr="00EA28CB" w:rsidRDefault="008A1281" w:rsidP="004320C0">
            <w:pPr>
              <w:spacing w:after="0" w:line="240" w:lineRule="auto"/>
            </w:pPr>
            <w:r w:rsidRPr="00EA28CB">
              <w:t>26.4</w:t>
            </w:r>
            <w:r w:rsidR="004D5992">
              <w:t>0</w:t>
            </w:r>
          </w:p>
        </w:tc>
        <w:tc>
          <w:tcPr>
            <w:tcW w:w="1219" w:type="dxa"/>
            <w:tcBorders>
              <w:top w:val="nil"/>
              <w:left w:val="nil"/>
              <w:bottom w:val="nil"/>
              <w:right w:val="nil"/>
            </w:tcBorders>
            <w:shd w:val="clear" w:color="auto" w:fill="auto"/>
            <w:noWrap/>
            <w:vAlign w:val="bottom"/>
            <w:hideMark/>
          </w:tcPr>
          <w:p w14:paraId="30EEAF9B" w14:textId="477540C6" w:rsidR="008A1281" w:rsidRPr="00EA28CB" w:rsidRDefault="008A1281" w:rsidP="004320C0">
            <w:pPr>
              <w:spacing w:after="0" w:line="240" w:lineRule="auto"/>
            </w:pPr>
            <w:r w:rsidRPr="00EA28CB">
              <w:t>-2.9</w:t>
            </w:r>
            <w:r w:rsidR="004D5992">
              <w:t>0</w:t>
            </w:r>
          </w:p>
        </w:tc>
        <w:tc>
          <w:tcPr>
            <w:tcW w:w="1219" w:type="dxa"/>
            <w:tcBorders>
              <w:top w:val="nil"/>
              <w:left w:val="nil"/>
              <w:bottom w:val="nil"/>
              <w:right w:val="nil"/>
            </w:tcBorders>
            <w:shd w:val="clear" w:color="auto" w:fill="auto"/>
            <w:noWrap/>
            <w:vAlign w:val="bottom"/>
            <w:hideMark/>
          </w:tcPr>
          <w:p w14:paraId="4FD38D72" w14:textId="77777777" w:rsidR="008A1281" w:rsidRPr="00EA28CB" w:rsidRDefault="008A1281" w:rsidP="004320C0">
            <w:pPr>
              <w:spacing w:after="0" w:line="240" w:lineRule="auto"/>
            </w:pPr>
            <w:r w:rsidRPr="00EA28CB">
              <w:t>3.47</w:t>
            </w:r>
          </w:p>
        </w:tc>
      </w:tr>
      <w:tr w:rsidR="008A1281" w:rsidRPr="00127E34" w14:paraId="0A413156" w14:textId="77777777" w:rsidTr="006A68F1">
        <w:trPr>
          <w:trHeight w:val="300"/>
        </w:trPr>
        <w:tc>
          <w:tcPr>
            <w:tcW w:w="1751" w:type="dxa"/>
            <w:tcBorders>
              <w:top w:val="nil"/>
              <w:left w:val="nil"/>
              <w:bottom w:val="nil"/>
              <w:right w:val="nil"/>
            </w:tcBorders>
            <w:shd w:val="clear" w:color="auto" w:fill="auto"/>
            <w:noWrap/>
            <w:vAlign w:val="bottom"/>
            <w:hideMark/>
          </w:tcPr>
          <w:p w14:paraId="786BF736" w14:textId="77777777" w:rsidR="008A1281" w:rsidRPr="00EA28CB" w:rsidRDefault="008A1281" w:rsidP="004320C0">
            <w:pPr>
              <w:spacing w:after="0" w:line="240" w:lineRule="auto"/>
            </w:pPr>
            <w:r w:rsidRPr="00EA28CB">
              <w:t>Divorce</w:t>
            </w:r>
          </w:p>
        </w:tc>
        <w:tc>
          <w:tcPr>
            <w:tcW w:w="1226" w:type="dxa"/>
            <w:tcBorders>
              <w:top w:val="nil"/>
              <w:left w:val="nil"/>
              <w:bottom w:val="nil"/>
              <w:right w:val="nil"/>
            </w:tcBorders>
            <w:shd w:val="clear" w:color="auto" w:fill="auto"/>
            <w:noWrap/>
            <w:vAlign w:val="bottom"/>
            <w:hideMark/>
          </w:tcPr>
          <w:p w14:paraId="60F7B9CB" w14:textId="77777777" w:rsidR="008A1281" w:rsidRPr="00EA28CB" w:rsidRDefault="008A1281" w:rsidP="004320C0">
            <w:pPr>
              <w:spacing w:after="0" w:line="240" w:lineRule="auto"/>
            </w:pPr>
            <w:r w:rsidRPr="00EA28CB">
              <w:t>0.01</w:t>
            </w:r>
          </w:p>
        </w:tc>
        <w:tc>
          <w:tcPr>
            <w:tcW w:w="1276" w:type="dxa"/>
            <w:tcBorders>
              <w:top w:val="nil"/>
              <w:left w:val="nil"/>
              <w:bottom w:val="nil"/>
              <w:right w:val="nil"/>
            </w:tcBorders>
            <w:shd w:val="clear" w:color="auto" w:fill="auto"/>
            <w:noWrap/>
            <w:vAlign w:val="bottom"/>
            <w:hideMark/>
          </w:tcPr>
          <w:p w14:paraId="1A9F9629" w14:textId="7E84136C" w:rsidR="008A1281" w:rsidRPr="00EA28CB" w:rsidRDefault="008A1281" w:rsidP="004320C0">
            <w:pPr>
              <w:spacing w:after="0" w:line="240" w:lineRule="auto"/>
            </w:pPr>
            <w:r w:rsidRPr="00EA28CB">
              <w:t>0</w:t>
            </w:r>
            <w:r w:rsidR="004D5992">
              <w:t>.00</w:t>
            </w:r>
          </w:p>
        </w:tc>
        <w:tc>
          <w:tcPr>
            <w:tcW w:w="1376" w:type="dxa"/>
            <w:tcBorders>
              <w:top w:val="nil"/>
              <w:left w:val="nil"/>
              <w:bottom w:val="nil"/>
              <w:right w:val="nil"/>
            </w:tcBorders>
            <w:shd w:val="clear" w:color="auto" w:fill="auto"/>
            <w:noWrap/>
            <w:vAlign w:val="bottom"/>
            <w:hideMark/>
          </w:tcPr>
          <w:p w14:paraId="77506E92" w14:textId="33E6891E" w:rsidR="008A1281" w:rsidRPr="00EA28CB" w:rsidRDefault="008A1281" w:rsidP="004320C0">
            <w:pPr>
              <w:spacing w:after="0" w:line="240" w:lineRule="auto"/>
            </w:pPr>
            <w:r w:rsidRPr="00EA28CB">
              <w:t>0</w:t>
            </w:r>
            <w:r w:rsidR="004D5992">
              <w:t>.00</w:t>
            </w:r>
          </w:p>
        </w:tc>
        <w:tc>
          <w:tcPr>
            <w:tcW w:w="1557" w:type="dxa"/>
            <w:tcBorders>
              <w:top w:val="nil"/>
              <w:left w:val="nil"/>
              <w:bottom w:val="nil"/>
              <w:right w:val="nil"/>
            </w:tcBorders>
            <w:shd w:val="clear" w:color="auto" w:fill="auto"/>
            <w:noWrap/>
            <w:vAlign w:val="bottom"/>
            <w:hideMark/>
          </w:tcPr>
          <w:p w14:paraId="63AEC269" w14:textId="587D7451"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42651B39" w14:textId="77777777" w:rsidR="008A1281" w:rsidRPr="00EA28CB" w:rsidRDefault="008A1281" w:rsidP="004320C0">
            <w:pPr>
              <w:spacing w:after="0" w:line="240" w:lineRule="auto"/>
            </w:pPr>
            <w:r w:rsidRPr="00EA28CB">
              <w:t>-0.01</w:t>
            </w:r>
          </w:p>
        </w:tc>
        <w:tc>
          <w:tcPr>
            <w:tcW w:w="1219" w:type="dxa"/>
            <w:tcBorders>
              <w:top w:val="nil"/>
              <w:left w:val="nil"/>
              <w:bottom w:val="nil"/>
              <w:right w:val="nil"/>
            </w:tcBorders>
            <w:shd w:val="clear" w:color="auto" w:fill="auto"/>
            <w:noWrap/>
            <w:vAlign w:val="bottom"/>
            <w:hideMark/>
          </w:tcPr>
          <w:p w14:paraId="3BD234D2" w14:textId="306901C2" w:rsidR="008A1281" w:rsidRPr="00EA28CB" w:rsidRDefault="008A1281" w:rsidP="004320C0">
            <w:pPr>
              <w:spacing w:after="0" w:line="240" w:lineRule="auto"/>
            </w:pPr>
            <w:r w:rsidRPr="00EA28CB">
              <w:t>0</w:t>
            </w:r>
            <w:r w:rsidR="004D5992">
              <w:t>.00</w:t>
            </w:r>
          </w:p>
        </w:tc>
      </w:tr>
      <w:tr w:rsidR="008A1281" w:rsidRPr="00127E34" w14:paraId="1B341E0F" w14:textId="77777777" w:rsidTr="006A68F1">
        <w:trPr>
          <w:trHeight w:val="300"/>
        </w:trPr>
        <w:tc>
          <w:tcPr>
            <w:tcW w:w="1751" w:type="dxa"/>
            <w:tcBorders>
              <w:top w:val="nil"/>
              <w:left w:val="nil"/>
              <w:bottom w:val="nil"/>
              <w:right w:val="nil"/>
            </w:tcBorders>
            <w:shd w:val="clear" w:color="auto" w:fill="auto"/>
            <w:noWrap/>
            <w:vAlign w:val="bottom"/>
            <w:hideMark/>
          </w:tcPr>
          <w:p w14:paraId="020E69F1" w14:textId="77777777" w:rsidR="008A1281" w:rsidRPr="00EA28CB" w:rsidRDefault="008A1281" w:rsidP="004320C0">
            <w:pPr>
              <w:spacing w:after="0" w:line="240" w:lineRule="auto"/>
            </w:pPr>
            <w:r w:rsidRPr="00EA28CB">
              <w:t>Abdominal pain</w:t>
            </w:r>
          </w:p>
        </w:tc>
        <w:tc>
          <w:tcPr>
            <w:tcW w:w="1226" w:type="dxa"/>
            <w:tcBorders>
              <w:top w:val="nil"/>
              <w:left w:val="nil"/>
              <w:bottom w:val="nil"/>
              <w:right w:val="nil"/>
            </w:tcBorders>
            <w:shd w:val="clear" w:color="auto" w:fill="auto"/>
            <w:noWrap/>
            <w:vAlign w:val="bottom"/>
            <w:hideMark/>
          </w:tcPr>
          <w:p w14:paraId="7E02F0C7" w14:textId="77777777" w:rsidR="008A1281" w:rsidRPr="00EA28CB" w:rsidRDefault="008A1281" w:rsidP="004320C0">
            <w:pPr>
              <w:spacing w:after="0" w:line="240" w:lineRule="auto"/>
            </w:pPr>
            <w:r w:rsidRPr="00EA28CB">
              <w:t>7.61</w:t>
            </w:r>
          </w:p>
        </w:tc>
        <w:tc>
          <w:tcPr>
            <w:tcW w:w="1276" w:type="dxa"/>
            <w:tcBorders>
              <w:top w:val="nil"/>
              <w:left w:val="nil"/>
              <w:bottom w:val="nil"/>
              <w:right w:val="nil"/>
            </w:tcBorders>
            <w:shd w:val="clear" w:color="auto" w:fill="auto"/>
            <w:noWrap/>
            <w:vAlign w:val="bottom"/>
            <w:hideMark/>
          </w:tcPr>
          <w:p w14:paraId="51DC0545" w14:textId="77777777" w:rsidR="008A1281" w:rsidRPr="00EA28CB" w:rsidRDefault="008A1281" w:rsidP="004320C0">
            <w:pPr>
              <w:spacing w:after="0" w:line="240" w:lineRule="auto"/>
            </w:pPr>
            <w:r w:rsidRPr="00EA28CB">
              <w:t>3.7</w:t>
            </w:r>
          </w:p>
        </w:tc>
        <w:tc>
          <w:tcPr>
            <w:tcW w:w="1376" w:type="dxa"/>
            <w:tcBorders>
              <w:top w:val="nil"/>
              <w:left w:val="nil"/>
              <w:bottom w:val="nil"/>
              <w:right w:val="nil"/>
            </w:tcBorders>
            <w:shd w:val="clear" w:color="auto" w:fill="auto"/>
            <w:noWrap/>
            <w:vAlign w:val="bottom"/>
            <w:hideMark/>
          </w:tcPr>
          <w:p w14:paraId="00C3061B" w14:textId="77777777" w:rsidR="008A1281" w:rsidRPr="00EA28CB" w:rsidRDefault="008A1281" w:rsidP="004320C0">
            <w:pPr>
              <w:spacing w:after="0" w:line="240" w:lineRule="auto"/>
            </w:pPr>
            <w:r w:rsidRPr="00EA28CB">
              <w:t>4.92</w:t>
            </w:r>
          </w:p>
        </w:tc>
        <w:tc>
          <w:tcPr>
            <w:tcW w:w="1557" w:type="dxa"/>
            <w:tcBorders>
              <w:top w:val="nil"/>
              <w:left w:val="nil"/>
              <w:bottom w:val="nil"/>
              <w:right w:val="nil"/>
            </w:tcBorders>
            <w:shd w:val="clear" w:color="auto" w:fill="auto"/>
            <w:noWrap/>
            <w:vAlign w:val="bottom"/>
            <w:hideMark/>
          </w:tcPr>
          <w:p w14:paraId="54CDEBB6" w14:textId="77777777" w:rsidR="008A1281" w:rsidRPr="00EA28CB" w:rsidRDefault="008A1281" w:rsidP="004320C0">
            <w:pPr>
              <w:spacing w:after="0" w:line="240" w:lineRule="auto"/>
            </w:pPr>
            <w:r w:rsidRPr="00EA28CB">
              <w:t>1.64</w:t>
            </w:r>
          </w:p>
        </w:tc>
        <w:tc>
          <w:tcPr>
            <w:tcW w:w="1219" w:type="dxa"/>
            <w:tcBorders>
              <w:top w:val="nil"/>
              <w:left w:val="nil"/>
              <w:bottom w:val="nil"/>
              <w:right w:val="nil"/>
            </w:tcBorders>
            <w:shd w:val="clear" w:color="auto" w:fill="auto"/>
            <w:noWrap/>
            <w:vAlign w:val="bottom"/>
            <w:hideMark/>
          </w:tcPr>
          <w:p w14:paraId="7AD87DE8" w14:textId="77777777" w:rsidR="008A1281" w:rsidRPr="00EA28CB" w:rsidRDefault="008A1281" w:rsidP="004320C0">
            <w:pPr>
              <w:spacing w:after="0" w:line="240" w:lineRule="auto"/>
            </w:pPr>
            <w:r w:rsidRPr="00EA28CB">
              <w:t>-2.69</w:t>
            </w:r>
          </w:p>
        </w:tc>
        <w:tc>
          <w:tcPr>
            <w:tcW w:w="1219" w:type="dxa"/>
            <w:tcBorders>
              <w:top w:val="nil"/>
              <w:left w:val="nil"/>
              <w:bottom w:val="nil"/>
              <w:right w:val="nil"/>
            </w:tcBorders>
            <w:shd w:val="clear" w:color="auto" w:fill="auto"/>
            <w:noWrap/>
            <w:vAlign w:val="bottom"/>
            <w:hideMark/>
          </w:tcPr>
          <w:p w14:paraId="5E631BF3" w14:textId="77777777" w:rsidR="008A1281" w:rsidRPr="00EA28CB" w:rsidRDefault="008A1281" w:rsidP="004320C0">
            <w:pPr>
              <w:spacing w:after="0" w:line="240" w:lineRule="auto"/>
            </w:pPr>
            <w:r w:rsidRPr="00EA28CB">
              <w:t>-2.07</w:t>
            </w:r>
          </w:p>
        </w:tc>
      </w:tr>
      <w:tr w:rsidR="008A1281" w:rsidRPr="00127E34" w14:paraId="265528C7" w14:textId="77777777" w:rsidTr="006A68F1">
        <w:trPr>
          <w:trHeight w:val="300"/>
        </w:trPr>
        <w:tc>
          <w:tcPr>
            <w:tcW w:w="1751" w:type="dxa"/>
            <w:tcBorders>
              <w:top w:val="nil"/>
              <w:left w:val="nil"/>
              <w:bottom w:val="nil"/>
              <w:right w:val="nil"/>
            </w:tcBorders>
            <w:shd w:val="clear" w:color="auto" w:fill="auto"/>
            <w:noWrap/>
            <w:vAlign w:val="bottom"/>
            <w:hideMark/>
          </w:tcPr>
          <w:p w14:paraId="3971E4B0" w14:textId="77777777" w:rsidR="008A1281" w:rsidRPr="00EA28CB" w:rsidRDefault="008A1281" w:rsidP="004320C0">
            <w:pPr>
              <w:spacing w:after="0" w:line="240" w:lineRule="auto"/>
            </w:pPr>
            <w:r w:rsidRPr="00EA28CB">
              <w:t>Excessive sweating</w:t>
            </w:r>
          </w:p>
        </w:tc>
        <w:tc>
          <w:tcPr>
            <w:tcW w:w="1226" w:type="dxa"/>
            <w:tcBorders>
              <w:top w:val="nil"/>
              <w:left w:val="nil"/>
              <w:bottom w:val="nil"/>
              <w:right w:val="nil"/>
            </w:tcBorders>
            <w:shd w:val="clear" w:color="auto" w:fill="auto"/>
            <w:noWrap/>
            <w:vAlign w:val="bottom"/>
            <w:hideMark/>
          </w:tcPr>
          <w:p w14:paraId="615F1977" w14:textId="77777777" w:rsidR="008A1281" w:rsidRPr="00EA28CB" w:rsidRDefault="008A1281" w:rsidP="004320C0">
            <w:pPr>
              <w:spacing w:after="0" w:line="240" w:lineRule="auto"/>
            </w:pPr>
            <w:r w:rsidRPr="00EA28CB">
              <w:t>0.59</w:t>
            </w:r>
          </w:p>
        </w:tc>
        <w:tc>
          <w:tcPr>
            <w:tcW w:w="1276" w:type="dxa"/>
            <w:tcBorders>
              <w:top w:val="nil"/>
              <w:left w:val="nil"/>
              <w:bottom w:val="nil"/>
              <w:right w:val="nil"/>
            </w:tcBorders>
            <w:shd w:val="clear" w:color="auto" w:fill="auto"/>
            <w:noWrap/>
            <w:vAlign w:val="bottom"/>
            <w:hideMark/>
          </w:tcPr>
          <w:p w14:paraId="1860C8CB" w14:textId="77777777" w:rsidR="008A1281" w:rsidRPr="00EA28CB" w:rsidRDefault="008A1281" w:rsidP="004320C0">
            <w:pPr>
              <w:spacing w:after="0" w:line="240" w:lineRule="auto"/>
            </w:pPr>
            <w:r w:rsidRPr="00EA28CB">
              <w:t>0.37</w:t>
            </w:r>
          </w:p>
        </w:tc>
        <w:tc>
          <w:tcPr>
            <w:tcW w:w="1376" w:type="dxa"/>
            <w:tcBorders>
              <w:top w:val="nil"/>
              <w:left w:val="nil"/>
              <w:bottom w:val="nil"/>
              <w:right w:val="nil"/>
            </w:tcBorders>
            <w:shd w:val="clear" w:color="auto" w:fill="auto"/>
            <w:noWrap/>
            <w:vAlign w:val="bottom"/>
            <w:hideMark/>
          </w:tcPr>
          <w:p w14:paraId="5403D010" w14:textId="77777777" w:rsidR="008A1281" w:rsidRPr="00EA28CB" w:rsidRDefault="008A1281" w:rsidP="004320C0">
            <w:pPr>
              <w:spacing w:after="0" w:line="240" w:lineRule="auto"/>
            </w:pPr>
            <w:r w:rsidRPr="00EA28CB">
              <w:t>0.58</w:t>
            </w:r>
          </w:p>
        </w:tc>
        <w:tc>
          <w:tcPr>
            <w:tcW w:w="1557" w:type="dxa"/>
            <w:tcBorders>
              <w:top w:val="nil"/>
              <w:left w:val="nil"/>
              <w:bottom w:val="nil"/>
              <w:right w:val="nil"/>
            </w:tcBorders>
            <w:shd w:val="clear" w:color="auto" w:fill="auto"/>
            <w:noWrap/>
            <w:vAlign w:val="bottom"/>
            <w:hideMark/>
          </w:tcPr>
          <w:p w14:paraId="3151D81F" w14:textId="77777777" w:rsidR="008A1281" w:rsidRPr="00EA28CB" w:rsidRDefault="008A1281" w:rsidP="004320C0">
            <w:pPr>
              <w:spacing w:after="0" w:line="240" w:lineRule="auto"/>
            </w:pPr>
            <w:r w:rsidRPr="00EA28CB">
              <w:t>0.23</w:t>
            </w:r>
          </w:p>
        </w:tc>
        <w:tc>
          <w:tcPr>
            <w:tcW w:w="1219" w:type="dxa"/>
            <w:tcBorders>
              <w:top w:val="nil"/>
              <w:left w:val="nil"/>
              <w:bottom w:val="nil"/>
              <w:right w:val="nil"/>
            </w:tcBorders>
            <w:shd w:val="clear" w:color="auto" w:fill="auto"/>
            <w:noWrap/>
            <w:vAlign w:val="bottom"/>
            <w:hideMark/>
          </w:tcPr>
          <w:p w14:paraId="2BDCDCBA" w14:textId="53DBEA84" w:rsidR="008A1281" w:rsidRPr="00EA28CB" w:rsidRDefault="008A1281" w:rsidP="004320C0">
            <w:pPr>
              <w:spacing w:after="0" w:line="240" w:lineRule="auto"/>
            </w:pPr>
            <w:r w:rsidRPr="00EA28CB">
              <w:t>-0.0</w:t>
            </w:r>
            <w:r w:rsidR="004D5992">
              <w:t>1</w:t>
            </w:r>
          </w:p>
        </w:tc>
        <w:tc>
          <w:tcPr>
            <w:tcW w:w="1219" w:type="dxa"/>
            <w:tcBorders>
              <w:top w:val="nil"/>
              <w:left w:val="nil"/>
              <w:bottom w:val="nil"/>
              <w:right w:val="nil"/>
            </w:tcBorders>
            <w:shd w:val="clear" w:color="auto" w:fill="auto"/>
            <w:noWrap/>
            <w:vAlign w:val="bottom"/>
            <w:hideMark/>
          </w:tcPr>
          <w:p w14:paraId="530C9FA4" w14:textId="7587AAFB" w:rsidR="008A1281" w:rsidRPr="00EA28CB" w:rsidRDefault="008A1281" w:rsidP="004320C0">
            <w:pPr>
              <w:spacing w:after="0" w:line="240" w:lineRule="auto"/>
            </w:pPr>
            <w:r w:rsidRPr="00EA28CB">
              <w:t>-0.1</w:t>
            </w:r>
            <w:r w:rsidR="004D5992">
              <w:t>4</w:t>
            </w:r>
          </w:p>
        </w:tc>
      </w:tr>
      <w:tr w:rsidR="008A1281" w:rsidRPr="00127E34" w14:paraId="7FA7F056" w14:textId="77777777" w:rsidTr="006A68F1">
        <w:trPr>
          <w:trHeight w:val="300"/>
        </w:trPr>
        <w:tc>
          <w:tcPr>
            <w:tcW w:w="1751" w:type="dxa"/>
            <w:tcBorders>
              <w:top w:val="nil"/>
              <w:left w:val="nil"/>
              <w:bottom w:val="nil"/>
              <w:right w:val="nil"/>
            </w:tcBorders>
            <w:shd w:val="clear" w:color="auto" w:fill="auto"/>
            <w:noWrap/>
            <w:vAlign w:val="bottom"/>
            <w:hideMark/>
          </w:tcPr>
          <w:p w14:paraId="2C0A17BC" w14:textId="77777777" w:rsidR="008A1281" w:rsidRPr="00EA28CB" w:rsidRDefault="008A1281" w:rsidP="004320C0">
            <w:pPr>
              <w:spacing w:after="0" w:line="240" w:lineRule="auto"/>
            </w:pPr>
            <w:r w:rsidRPr="00EA28CB">
              <w:t>Puberty, early or late</w:t>
            </w:r>
          </w:p>
        </w:tc>
        <w:tc>
          <w:tcPr>
            <w:tcW w:w="1226" w:type="dxa"/>
            <w:tcBorders>
              <w:top w:val="nil"/>
              <w:left w:val="nil"/>
              <w:bottom w:val="nil"/>
              <w:right w:val="nil"/>
            </w:tcBorders>
            <w:shd w:val="clear" w:color="auto" w:fill="auto"/>
            <w:noWrap/>
            <w:vAlign w:val="bottom"/>
            <w:hideMark/>
          </w:tcPr>
          <w:p w14:paraId="1A3D5F0A" w14:textId="77777777" w:rsidR="008A1281" w:rsidRPr="00EA28CB" w:rsidRDefault="008A1281" w:rsidP="004320C0">
            <w:pPr>
              <w:spacing w:after="0" w:line="240" w:lineRule="auto"/>
            </w:pPr>
            <w:r w:rsidRPr="00EA28CB">
              <w:t>0.23</w:t>
            </w:r>
          </w:p>
        </w:tc>
        <w:tc>
          <w:tcPr>
            <w:tcW w:w="1276" w:type="dxa"/>
            <w:tcBorders>
              <w:top w:val="nil"/>
              <w:left w:val="nil"/>
              <w:bottom w:val="nil"/>
              <w:right w:val="nil"/>
            </w:tcBorders>
            <w:shd w:val="clear" w:color="auto" w:fill="auto"/>
            <w:noWrap/>
            <w:vAlign w:val="bottom"/>
            <w:hideMark/>
          </w:tcPr>
          <w:p w14:paraId="3F73D102" w14:textId="77777777" w:rsidR="008A1281" w:rsidRPr="00EA28CB" w:rsidRDefault="008A1281" w:rsidP="004320C0">
            <w:pPr>
              <w:spacing w:after="0" w:line="240" w:lineRule="auto"/>
            </w:pPr>
            <w:r w:rsidRPr="00EA28CB">
              <w:t>0.19</w:t>
            </w:r>
          </w:p>
        </w:tc>
        <w:tc>
          <w:tcPr>
            <w:tcW w:w="1376" w:type="dxa"/>
            <w:tcBorders>
              <w:top w:val="nil"/>
              <w:left w:val="nil"/>
              <w:bottom w:val="nil"/>
              <w:right w:val="nil"/>
            </w:tcBorders>
            <w:shd w:val="clear" w:color="auto" w:fill="auto"/>
            <w:noWrap/>
            <w:vAlign w:val="bottom"/>
            <w:hideMark/>
          </w:tcPr>
          <w:p w14:paraId="5926136A" w14:textId="77777777" w:rsidR="008A1281" w:rsidRPr="00EA28CB" w:rsidRDefault="008A1281" w:rsidP="004320C0">
            <w:pPr>
              <w:spacing w:after="0" w:line="240" w:lineRule="auto"/>
            </w:pPr>
            <w:r w:rsidRPr="00EA28CB">
              <w:t>0.34</w:t>
            </w:r>
          </w:p>
        </w:tc>
        <w:tc>
          <w:tcPr>
            <w:tcW w:w="1557" w:type="dxa"/>
            <w:tcBorders>
              <w:top w:val="nil"/>
              <w:left w:val="nil"/>
              <w:bottom w:val="nil"/>
              <w:right w:val="nil"/>
            </w:tcBorders>
            <w:shd w:val="clear" w:color="auto" w:fill="auto"/>
            <w:noWrap/>
            <w:vAlign w:val="bottom"/>
            <w:hideMark/>
          </w:tcPr>
          <w:p w14:paraId="24C3B39C" w14:textId="77777777" w:rsidR="008A1281" w:rsidRPr="00EA28CB" w:rsidRDefault="008A1281" w:rsidP="004320C0">
            <w:pPr>
              <w:spacing w:after="0" w:line="240" w:lineRule="auto"/>
            </w:pPr>
            <w:r w:rsidRPr="00EA28CB">
              <w:t>0.26</w:t>
            </w:r>
          </w:p>
        </w:tc>
        <w:tc>
          <w:tcPr>
            <w:tcW w:w="1219" w:type="dxa"/>
            <w:tcBorders>
              <w:top w:val="nil"/>
              <w:left w:val="nil"/>
              <w:bottom w:val="nil"/>
              <w:right w:val="nil"/>
            </w:tcBorders>
            <w:shd w:val="clear" w:color="auto" w:fill="auto"/>
            <w:noWrap/>
            <w:vAlign w:val="bottom"/>
            <w:hideMark/>
          </w:tcPr>
          <w:p w14:paraId="02CE22F2" w14:textId="77777777" w:rsidR="008A1281" w:rsidRPr="00EA28CB" w:rsidRDefault="008A1281" w:rsidP="004320C0">
            <w:pPr>
              <w:spacing w:after="0" w:line="240" w:lineRule="auto"/>
            </w:pPr>
            <w:r w:rsidRPr="00EA28CB">
              <w:t>0.11</w:t>
            </w:r>
          </w:p>
        </w:tc>
        <w:tc>
          <w:tcPr>
            <w:tcW w:w="1219" w:type="dxa"/>
            <w:tcBorders>
              <w:top w:val="nil"/>
              <w:left w:val="nil"/>
              <w:bottom w:val="nil"/>
              <w:right w:val="nil"/>
            </w:tcBorders>
            <w:shd w:val="clear" w:color="auto" w:fill="auto"/>
            <w:noWrap/>
            <w:vAlign w:val="bottom"/>
            <w:hideMark/>
          </w:tcPr>
          <w:p w14:paraId="391F4507" w14:textId="77777777" w:rsidR="008A1281" w:rsidRPr="00EA28CB" w:rsidRDefault="008A1281" w:rsidP="004320C0">
            <w:pPr>
              <w:spacing w:after="0" w:line="240" w:lineRule="auto"/>
            </w:pPr>
            <w:r w:rsidRPr="00EA28CB">
              <w:t>0.06</w:t>
            </w:r>
          </w:p>
        </w:tc>
      </w:tr>
      <w:tr w:rsidR="008A1281" w:rsidRPr="00127E34" w14:paraId="5B3EC79B" w14:textId="77777777" w:rsidTr="006A68F1">
        <w:trPr>
          <w:trHeight w:val="300"/>
        </w:trPr>
        <w:tc>
          <w:tcPr>
            <w:tcW w:w="1751" w:type="dxa"/>
            <w:tcBorders>
              <w:top w:val="nil"/>
              <w:left w:val="nil"/>
              <w:bottom w:val="nil"/>
              <w:right w:val="nil"/>
            </w:tcBorders>
            <w:shd w:val="clear" w:color="auto" w:fill="auto"/>
            <w:noWrap/>
            <w:vAlign w:val="bottom"/>
            <w:hideMark/>
          </w:tcPr>
          <w:p w14:paraId="68BC1F6E" w14:textId="77777777" w:rsidR="008A1281" w:rsidRPr="00EA28CB" w:rsidRDefault="008A1281" w:rsidP="004320C0">
            <w:pPr>
              <w:spacing w:after="0" w:line="240" w:lineRule="auto"/>
            </w:pPr>
            <w:r w:rsidRPr="00EA28CB">
              <w:t>Family History of depression</w:t>
            </w:r>
          </w:p>
        </w:tc>
        <w:tc>
          <w:tcPr>
            <w:tcW w:w="1226" w:type="dxa"/>
            <w:tcBorders>
              <w:top w:val="nil"/>
              <w:left w:val="nil"/>
              <w:bottom w:val="nil"/>
              <w:right w:val="nil"/>
            </w:tcBorders>
            <w:shd w:val="clear" w:color="auto" w:fill="auto"/>
            <w:noWrap/>
            <w:vAlign w:val="bottom"/>
            <w:hideMark/>
          </w:tcPr>
          <w:p w14:paraId="140EB979" w14:textId="5178F280" w:rsidR="008A1281" w:rsidRPr="00EA28CB" w:rsidRDefault="008A1281" w:rsidP="004320C0">
            <w:pPr>
              <w:spacing w:after="0" w:line="240" w:lineRule="auto"/>
            </w:pPr>
            <w:r w:rsidRPr="00EA28CB">
              <w:t>0</w:t>
            </w:r>
            <w:r w:rsidR="004D5992">
              <w:t>.00</w:t>
            </w:r>
          </w:p>
        </w:tc>
        <w:tc>
          <w:tcPr>
            <w:tcW w:w="1276" w:type="dxa"/>
            <w:tcBorders>
              <w:top w:val="nil"/>
              <w:left w:val="nil"/>
              <w:bottom w:val="nil"/>
              <w:right w:val="nil"/>
            </w:tcBorders>
            <w:shd w:val="clear" w:color="auto" w:fill="auto"/>
            <w:noWrap/>
            <w:vAlign w:val="bottom"/>
            <w:hideMark/>
          </w:tcPr>
          <w:p w14:paraId="13EE09C3" w14:textId="39354D85" w:rsidR="008A1281" w:rsidRPr="00EA28CB" w:rsidRDefault="008A1281" w:rsidP="004320C0">
            <w:pPr>
              <w:spacing w:after="0" w:line="240" w:lineRule="auto"/>
            </w:pPr>
            <w:r w:rsidRPr="00EA28CB">
              <w:t>0</w:t>
            </w:r>
            <w:r w:rsidR="004D5992">
              <w:t>.00</w:t>
            </w:r>
          </w:p>
        </w:tc>
        <w:tc>
          <w:tcPr>
            <w:tcW w:w="1376" w:type="dxa"/>
            <w:tcBorders>
              <w:top w:val="nil"/>
              <w:left w:val="nil"/>
              <w:bottom w:val="nil"/>
              <w:right w:val="nil"/>
            </w:tcBorders>
            <w:shd w:val="clear" w:color="auto" w:fill="auto"/>
            <w:noWrap/>
            <w:vAlign w:val="bottom"/>
            <w:hideMark/>
          </w:tcPr>
          <w:p w14:paraId="2DF93729" w14:textId="77777777" w:rsidR="008A1281" w:rsidRPr="00EA28CB" w:rsidRDefault="008A1281" w:rsidP="004320C0">
            <w:pPr>
              <w:spacing w:after="0" w:line="240" w:lineRule="auto"/>
            </w:pPr>
            <w:r w:rsidRPr="00EA28CB">
              <w:t>0.04</w:t>
            </w:r>
          </w:p>
        </w:tc>
        <w:tc>
          <w:tcPr>
            <w:tcW w:w="1557" w:type="dxa"/>
            <w:tcBorders>
              <w:top w:val="nil"/>
              <w:left w:val="nil"/>
              <w:bottom w:val="nil"/>
              <w:right w:val="nil"/>
            </w:tcBorders>
            <w:shd w:val="clear" w:color="auto" w:fill="auto"/>
            <w:noWrap/>
            <w:vAlign w:val="bottom"/>
            <w:hideMark/>
          </w:tcPr>
          <w:p w14:paraId="4CC5F802" w14:textId="4B4E7CC7"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61C855F1" w14:textId="77777777" w:rsidR="008A1281" w:rsidRPr="00EA28CB" w:rsidRDefault="008A1281" w:rsidP="004320C0">
            <w:pPr>
              <w:spacing w:after="0" w:line="240" w:lineRule="auto"/>
            </w:pPr>
            <w:r w:rsidRPr="00EA28CB">
              <w:t>0.04</w:t>
            </w:r>
          </w:p>
        </w:tc>
        <w:tc>
          <w:tcPr>
            <w:tcW w:w="1219" w:type="dxa"/>
            <w:tcBorders>
              <w:top w:val="nil"/>
              <w:left w:val="nil"/>
              <w:bottom w:val="nil"/>
              <w:right w:val="nil"/>
            </w:tcBorders>
            <w:shd w:val="clear" w:color="auto" w:fill="auto"/>
            <w:noWrap/>
            <w:vAlign w:val="bottom"/>
            <w:hideMark/>
          </w:tcPr>
          <w:p w14:paraId="5D95E9FF" w14:textId="7967DE8A" w:rsidR="008A1281" w:rsidRPr="00EA28CB" w:rsidRDefault="008A1281" w:rsidP="004320C0">
            <w:pPr>
              <w:spacing w:after="0" w:line="240" w:lineRule="auto"/>
            </w:pPr>
            <w:r w:rsidRPr="00EA28CB">
              <w:t>0</w:t>
            </w:r>
            <w:r w:rsidR="004D5992">
              <w:t>.00</w:t>
            </w:r>
          </w:p>
        </w:tc>
      </w:tr>
      <w:tr w:rsidR="008A1281" w:rsidRPr="00127E34" w14:paraId="1ED5113A" w14:textId="77777777" w:rsidTr="006A68F1">
        <w:trPr>
          <w:trHeight w:val="300"/>
        </w:trPr>
        <w:tc>
          <w:tcPr>
            <w:tcW w:w="1751" w:type="dxa"/>
            <w:tcBorders>
              <w:top w:val="nil"/>
              <w:left w:val="nil"/>
              <w:bottom w:val="nil"/>
              <w:right w:val="nil"/>
            </w:tcBorders>
            <w:shd w:val="clear" w:color="auto" w:fill="auto"/>
            <w:noWrap/>
            <w:vAlign w:val="bottom"/>
            <w:hideMark/>
          </w:tcPr>
          <w:p w14:paraId="127C7BB3" w14:textId="77777777" w:rsidR="008A1281" w:rsidRPr="00EA28CB" w:rsidRDefault="008A1281" w:rsidP="004320C0">
            <w:pPr>
              <w:spacing w:after="0" w:line="240" w:lineRule="auto"/>
            </w:pPr>
            <w:r w:rsidRPr="00EA28CB">
              <w:t>Family History of drug abuse</w:t>
            </w:r>
          </w:p>
        </w:tc>
        <w:tc>
          <w:tcPr>
            <w:tcW w:w="1226" w:type="dxa"/>
            <w:tcBorders>
              <w:top w:val="nil"/>
              <w:left w:val="nil"/>
              <w:bottom w:val="nil"/>
              <w:right w:val="nil"/>
            </w:tcBorders>
            <w:shd w:val="clear" w:color="auto" w:fill="auto"/>
            <w:noWrap/>
            <w:vAlign w:val="bottom"/>
            <w:hideMark/>
          </w:tcPr>
          <w:p w14:paraId="4CA23534" w14:textId="77777777" w:rsidR="008A1281" w:rsidRPr="00EA28CB" w:rsidRDefault="008A1281" w:rsidP="004320C0">
            <w:pPr>
              <w:spacing w:after="0" w:line="240" w:lineRule="auto"/>
            </w:pPr>
            <w:r w:rsidRPr="00EA28CB">
              <w:t>0.01</w:t>
            </w:r>
          </w:p>
        </w:tc>
        <w:tc>
          <w:tcPr>
            <w:tcW w:w="1276" w:type="dxa"/>
            <w:tcBorders>
              <w:top w:val="nil"/>
              <w:left w:val="nil"/>
              <w:bottom w:val="nil"/>
              <w:right w:val="nil"/>
            </w:tcBorders>
            <w:shd w:val="clear" w:color="auto" w:fill="auto"/>
            <w:noWrap/>
            <w:vAlign w:val="bottom"/>
            <w:hideMark/>
          </w:tcPr>
          <w:p w14:paraId="05DFE80E" w14:textId="0FDB2653" w:rsidR="008A1281" w:rsidRPr="00EA28CB" w:rsidRDefault="008A1281" w:rsidP="004320C0">
            <w:pPr>
              <w:spacing w:after="0" w:line="240" w:lineRule="auto"/>
            </w:pPr>
            <w:r w:rsidRPr="00EA28CB">
              <w:t>0</w:t>
            </w:r>
            <w:r w:rsidR="004D5992">
              <w:t>.00</w:t>
            </w:r>
          </w:p>
        </w:tc>
        <w:tc>
          <w:tcPr>
            <w:tcW w:w="1376" w:type="dxa"/>
            <w:tcBorders>
              <w:top w:val="nil"/>
              <w:left w:val="nil"/>
              <w:bottom w:val="nil"/>
              <w:right w:val="nil"/>
            </w:tcBorders>
            <w:shd w:val="clear" w:color="auto" w:fill="auto"/>
            <w:noWrap/>
            <w:vAlign w:val="bottom"/>
            <w:hideMark/>
          </w:tcPr>
          <w:p w14:paraId="79D62498" w14:textId="314E8EB0" w:rsidR="008A1281" w:rsidRPr="00EA28CB" w:rsidRDefault="008A1281" w:rsidP="004320C0">
            <w:pPr>
              <w:spacing w:after="0" w:line="240" w:lineRule="auto"/>
            </w:pPr>
            <w:r w:rsidRPr="00EA28CB">
              <w:t>0</w:t>
            </w:r>
            <w:r w:rsidR="004D5992">
              <w:t>.00</w:t>
            </w:r>
          </w:p>
        </w:tc>
        <w:tc>
          <w:tcPr>
            <w:tcW w:w="1557" w:type="dxa"/>
            <w:tcBorders>
              <w:top w:val="nil"/>
              <w:left w:val="nil"/>
              <w:bottom w:val="nil"/>
              <w:right w:val="nil"/>
            </w:tcBorders>
            <w:shd w:val="clear" w:color="auto" w:fill="auto"/>
            <w:noWrap/>
            <w:vAlign w:val="bottom"/>
            <w:hideMark/>
          </w:tcPr>
          <w:p w14:paraId="2746CE4F" w14:textId="0926691B" w:rsidR="008A1281" w:rsidRPr="00EA28CB" w:rsidRDefault="008A1281" w:rsidP="004320C0">
            <w:pPr>
              <w:spacing w:after="0" w:line="240" w:lineRule="auto"/>
            </w:pPr>
            <w:r w:rsidRPr="00EA28CB">
              <w:t>0</w:t>
            </w:r>
            <w:r w:rsidR="004D5992">
              <w:t>.00</w:t>
            </w:r>
          </w:p>
        </w:tc>
        <w:tc>
          <w:tcPr>
            <w:tcW w:w="1219" w:type="dxa"/>
            <w:tcBorders>
              <w:top w:val="nil"/>
              <w:left w:val="nil"/>
              <w:bottom w:val="nil"/>
              <w:right w:val="nil"/>
            </w:tcBorders>
            <w:shd w:val="clear" w:color="auto" w:fill="auto"/>
            <w:noWrap/>
            <w:vAlign w:val="bottom"/>
            <w:hideMark/>
          </w:tcPr>
          <w:p w14:paraId="62658689" w14:textId="094B8A7D" w:rsidR="008A1281" w:rsidRPr="00EA28CB" w:rsidRDefault="004D5992" w:rsidP="004320C0">
            <w:pPr>
              <w:spacing w:after="0" w:line="240" w:lineRule="auto"/>
            </w:pPr>
            <w:r>
              <w:t>-</w:t>
            </w:r>
            <w:r w:rsidR="008A1281" w:rsidRPr="00EA28CB">
              <w:t>0</w:t>
            </w:r>
            <w:r>
              <w:t>.01</w:t>
            </w:r>
          </w:p>
        </w:tc>
        <w:tc>
          <w:tcPr>
            <w:tcW w:w="1219" w:type="dxa"/>
            <w:tcBorders>
              <w:top w:val="nil"/>
              <w:left w:val="nil"/>
              <w:bottom w:val="nil"/>
              <w:right w:val="nil"/>
            </w:tcBorders>
            <w:shd w:val="clear" w:color="auto" w:fill="auto"/>
            <w:noWrap/>
            <w:vAlign w:val="bottom"/>
            <w:hideMark/>
          </w:tcPr>
          <w:p w14:paraId="6BE72DCD" w14:textId="25B5C7F3" w:rsidR="008A1281" w:rsidRPr="00EA28CB" w:rsidRDefault="008A1281" w:rsidP="004320C0">
            <w:pPr>
              <w:spacing w:after="0" w:line="240" w:lineRule="auto"/>
            </w:pPr>
            <w:r w:rsidRPr="00EA28CB">
              <w:t>0</w:t>
            </w:r>
            <w:r w:rsidR="004D5992">
              <w:t>.00</w:t>
            </w:r>
          </w:p>
        </w:tc>
      </w:tr>
      <w:tr w:rsidR="008A1281" w:rsidRPr="00127E34" w14:paraId="7094C4C4" w14:textId="77777777" w:rsidTr="006A68F1">
        <w:trPr>
          <w:trHeight w:val="300"/>
        </w:trPr>
        <w:tc>
          <w:tcPr>
            <w:tcW w:w="1751" w:type="dxa"/>
            <w:tcBorders>
              <w:top w:val="nil"/>
              <w:left w:val="nil"/>
              <w:right w:val="nil"/>
            </w:tcBorders>
            <w:shd w:val="clear" w:color="auto" w:fill="auto"/>
            <w:noWrap/>
            <w:vAlign w:val="bottom"/>
            <w:hideMark/>
          </w:tcPr>
          <w:p w14:paraId="6F02AC5E" w14:textId="77777777" w:rsidR="008A1281" w:rsidRPr="00EA28CB" w:rsidRDefault="008A1281" w:rsidP="004320C0">
            <w:pPr>
              <w:spacing w:after="0" w:line="240" w:lineRule="auto"/>
            </w:pPr>
            <w:r w:rsidRPr="00EA28CB">
              <w:t>Family History of alcohol abuse</w:t>
            </w:r>
          </w:p>
        </w:tc>
        <w:tc>
          <w:tcPr>
            <w:tcW w:w="1226" w:type="dxa"/>
            <w:tcBorders>
              <w:top w:val="nil"/>
              <w:left w:val="nil"/>
              <w:right w:val="nil"/>
            </w:tcBorders>
            <w:shd w:val="clear" w:color="auto" w:fill="auto"/>
            <w:noWrap/>
            <w:vAlign w:val="bottom"/>
            <w:hideMark/>
          </w:tcPr>
          <w:p w14:paraId="549B8B3B" w14:textId="4781B660" w:rsidR="008A1281" w:rsidRPr="00EA28CB" w:rsidRDefault="008A1281" w:rsidP="004320C0">
            <w:pPr>
              <w:spacing w:after="0" w:line="240" w:lineRule="auto"/>
            </w:pPr>
            <w:r w:rsidRPr="00EA28CB">
              <w:t>0</w:t>
            </w:r>
            <w:r w:rsidR="004D5992">
              <w:t>.00</w:t>
            </w:r>
          </w:p>
        </w:tc>
        <w:tc>
          <w:tcPr>
            <w:tcW w:w="1276" w:type="dxa"/>
            <w:tcBorders>
              <w:top w:val="nil"/>
              <w:left w:val="nil"/>
              <w:right w:val="nil"/>
            </w:tcBorders>
            <w:shd w:val="clear" w:color="auto" w:fill="auto"/>
            <w:noWrap/>
            <w:vAlign w:val="bottom"/>
            <w:hideMark/>
          </w:tcPr>
          <w:p w14:paraId="6E3944A7" w14:textId="363C0DD5" w:rsidR="008A1281" w:rsidRPr="00EA28CB" w:rsidRDefault="008A1281" w:rsidP="004320C0">
            <w:pPr>
              <w:spacing w:after="0" w:line="240" w:lineRule="auto"/>
            </w:pPr>
            <w:r w:rsidRPr="00EA28CB">
              <w:t>0</w:t>
            </w:r>
            <w:r w:rsidR="004D5992">
              <w:t>.00</w:t>
            </w:r>
          </w:p>
        </w:tc>
        <w:tc>
          <w:tcPr>
            <w:tcW w:w="1376" w:type="dxa"/>
            <w:tcBorders>
              <w:top w:val="nil"/>
              <w:left w:val="nil"/>
              <w:right w:val="nil"/>
            </w:tcBorders>
            <w:shd w:val="clear" w:color="auto" w:fill="auto"/>
            <w:noWrap/>
            <w:vAlign w:val="bottom"/>
            <w:hideMark/>
          </w:tcPr>
          <w:p w14:paraId="260B9BED" w14:textId="56684F31" w:rsidR="008A1281" w:rsidRPr="00EA28CB" w:rsidRDefault="008A1281" w:rsidP="004320C0">
            <w:pPr>
              <w:spacing w:after="0" w:line="240" w:lineRule="auto"/>
            </w:pPr>
            <w:r w:rsidRPr="00EA28CB">
              <w:t>0</w:t>
            </w:r>
            <w:r w:rsidR="004D5992">
              <w:t>.00</w:t>
            </w:r>
          </w:p>
        </w:tc>
        <w:tc>
          <w:tcPr>
            <w:tcW w:w="1557" w:type="dxa"/>
            <w:tcBorders>
              <w:top w:val="nil"/>
              <w:left w:val="nil"/>
              <w:right w:val="nil"/>
            </w:tcBorders>
            <w:shd w:val="clear" w:color="auto" w:fill="auto"/>
            <w:noWrap/>
            <w:vAlign w:val="bottom"/>
            <w:hideMark/>
          </w:tcPr>
          <w:p w14:paraId="2669A43F" w14:textId="59DBF28B" w:rsidR="008A1281" w:rsidRPr="00EA28CB" w:rsidRDefault="008A1281" w:rsidP="004320C0">
            <w:pPr>
              <w:spacing w:after="0" w:line="240" w:lineRule="auto"/>
            </w:pPr>
            <w:r w:rsidRPr="00EA28CB">
              <w:t>0</w:t>
            </w:r>
            <w:r w:rsidR="004D5992">
              <w:t>.00</w:t>
            </w:r>
          </w:p>
        </w:tc>
        <w:tc>
          <w:tcPr>
            <w:tcW w:w="1219" w:type="dxa"/>
            <w:tcBorders>
              <w:top w:val="nil"/>
              <w:left w:val="nil"/>
              <w:right w:val="nil"/>
            </w:tcBorders>
            <w:shd w:val="clear" w:color="auto" w:fill="auto"/>
            <w:noWrap/>
            <w:vAlign w:val="bottom"/>
            <w:hideMark/>
          </w:tcPr>
          <w:p w14:paraId="3DCED3DD" w14:textId="2D40B0C6" w:rsidR="008A1281" w:rsidRPr="00EA28CB" w:rsidRDefault="008A1281" w:rsidP="004320C0">
            <w:pPr>
              <w:spacing w:after="0" w:line="240" w:lineRule="auto"/>
            </w:pPr>
            <w:r w:rsidRPr="00EA28CB">
              <w:t>0</w:t>
            </w:r>
            <w:r w:rsidR="004D5992">
              <w:t>.00</w:t>
            </w:r>
          </w:p>
        </w:tc>
        <w:tc>
          <w:tcPr>
            <w:tcW w:w="1219" w:type="dxa"/>
            <w:tcBorders>
              <w:top w:val="nil"/>
              <w:left w:val="nil"/>
              <w:right w:val="nil"/>
            </w:tcBorders>
            <w:shd w:val="clear" w:color="auto" w:fill="auto"/>
            <w:noWrap/>
            <w:vAlign w:val="bottom"/>
            <w:hideMark/>
          </w:tcPr>
          <w:p w14:paraId="42A289FF" w14:textId="18826C4B" w:rsidR="008A1281" w:rsidRPr="00EA28CB" w:rsidRDefault="008A1281" w:rsidP="004320C0">
            <w:pPr>
              <w:spacing w:after="0" w:line="240" w:lineRule="auto"/>
            </w:pPr>
            <w:r w:rsidRPr="00EA28CB">
              <w:t>0</w:t>
            </w:r>
            <w:r w:rsidR="004D5992">
              <w:t>.00</w:t>
            </w:r>
          </w:p>
        </w:tc>
      </w:tr>
      <w:tr w:rsidR="008A1281" w:rsidRPr="00127E34" w14:paraId="0F568965" w14:textId="77777777" w:rsidTr="006A68F1">
        <w:trPr>
          <w:trHeight w:val="300"/>
        </w:trPr>
        <w:tc>
          <w:tcPr>
            <w:tcW w:w="1751" w:type="dxa"/>
            <w:tcBorders>
              <w:top w:val="nil"/>
              <w:left w:val="nil"/>
              <w:bottom w:val="single" w:sz="4" w:space="0" w:color="auto"/>
              <w:right w:val="nil"/>
            </w:tcBorders>
            <w:shd w:val="clear" w:color="auto" w:fill="auto"/>
            <w:noWrap/>
            <w:vAlign w:val="bottom"/>
            <w:hideMark/>
          </w:tcPr>
          <w:p w14:paraId="164D77D6" w14:textId="77777777" w:rsidR="008A1281" w:rsidRPr="00EA28CB" w:rsidRDefault="008A1281" w:rsidP="004320C0">
            <w:pPr>
              <w:spacing w:after="0" w:line="240" w:lineRule="auto"/>
            </w:pPr>
            <w:r w:rsidRPr="00EA28CB">
              <w:t>Family History of abuse</w:t>
            </w:r>
          </w:p>
        </w:tc>
        <w:tc>
          <w:tcPr>
            <w:tcW w:w="1226" w:type="dxa"/>
            <w:tcBorders>
              <w:top w:val="nil"/>
              <w:left w:val="nil"/>
              <w:bottom w:val="single" w:sz="4" w:space="0" w:color="auto"/>
              <w:right w:val="nil"/>
            </w:tcBorders>
            <w:shd w:val="clear" w:color="auto" w:fill="auto"/>
            <w:noWrap/>
            <w:vAlign w:val="bottom"/>
            <w:hideMark/>
          </w:tcPr>
          <w:p w14:paraId="34FAFE1F" w14:textId="77777777" w:rsidR="008A1281" w:rsidRPr="00EA28CB" w:rsidRDefault="008A1281" w:rsidP="004320C0">
            <w:pPr>
              <w:spacing w:after="0" w:line="240" w:lineRule="auto"/>
            </w:pPr>
            <w:r w:rsidRPr="00EA28CB">
              <w:t>0.01</w:t>
            </w:r>
          </w:p>
        </w:tc>
        <w:tc>
          <w:tcPr>
            <w:tcW w:w="1276" w:type="dxa"/>
            <w:tcBorders>
              <w:top w:val="nil"/>
              <w:left w:val="nil"/>
              <w:bottom w:val="single" w:sz="4" w:space="0" w:color="auto"/>
              <w:right w:val="nil"/>
            </w:tcBorders>
            <w:shd w:val="clear" w:color="auto" w:fill="auto"/>
            <w:noWrap/>
            <w:vAlign w:val="bottom"/>
            <w:hideMark/>
          </w:tcPr>
          <w:p w14:paraId="1BF3B9A4" w14:textId="46174BD8" w:rsidR="008A1281" w:rsidRPr="00EA28CB" w:rsidRDefault="008A1281" w:rsidP="004320C0">
            <w:pPr>
              <w:spacing w:after="0" w:line="240" w:lineRule="auto"/>
            </w:pPr>
            <w:r w:rsidRPr="00EA28CB">
              <w:t>0</w:t>
            </w:r>
            <w:r w:rsidR="004D5992">
              <w:t>.00</w:t>
            </w:r>
          </w:p>
        </w:tc>
        <w:tc>
          <w:tcPr>
            <w:tcW w:w="1376" w:type="dxa"/>
            <w:tcBorders>
              <w:top w:val="nil"/>
              <w:left w:val="nil"/>
              <w:bottom w:val="single" w:sz="4" w:space="0" w:color="auto"/>
              <w:right w:val="nil"/>
            </w:tcBorders>
            <w:shd w:val="clear" w:color="auto" w:fill="auto"/>
            <w:noWrap/>
            <w:vAlign w:val="bottom"/>
            <w:hideMark/>
          </w:tcPr>
          <w:p w14:paraId="70257BE7" w14:textId="77777777" w:rsidR="008A1281" w:rsidRPr="00EA28CB" w:rsidRDefault="008A1281" w:rsidP="004320C0">
            <w:pPr>
              <w:spacing w:after="0" w:line="240" w:lineRule="auto"/>
            </w:pPr>
            <w:r w:rsidRPr="00EA28CB">
              <w:t>0.03</w:t>
            </w:r>
          </w:p>
        </w:tc>
        <w:tc>
          <w:tcPr>
            <w:tcW w:w="1557" w:type="dxa"/>
            <w:tcBorders>
              <w:top w:val="nil"/>
              <w:left w:val="nil"/>
              <w:bottom w:val="single" w:sz="4" w:space="0" w:color="auto"/>
              <w:right w:val="nil"/>
            </w:tcBorders>
            <w:shd w:val="clear" w:color="auto" w:fill="auto"/>
            <w:noWrap/>
            <w:vAlign w:val="bottom"/>
            <w:hideMark/>
          </w:tcPr>
          <w:p w14:paraId="690F3704" w14:textId="77777777" w:rsidR="008A1281" w:rsidRPr="00EA28CB" w:rsidRDefault="008A1281" w:rsidP="004320C0">
            <w:pPr>
              <w:spacing w:after="0" w:line="240" w:lineRule="auto"/>
            </w:pPr>
            <w:r w:rsidRPr="00EA28CB">
              <w:t>0.01</w:t>
            </w:r>
          </w:p>
        </w:tc>
        <w:tc>
          <w:tcPr>
            <w:tcW w:w="1219" w:type="dxa"/>
            <w:tcBorders>
              <w:top w:val="nil"/>
              <w:left w:val="nil"/>
              <w:bottom w:val="single" w:sz="4" w:space="0" w:color="auto"/>
              <w:right w:val="nil"/>
            </w:tcBorders>
            <w:shd w:val="clear" w:color="auto" w:fill="auto"/>
            <w:noWrap/>
            <w:vAlign w:val="bottom"/>
            <w:hideMark/>
          </w:tcPr>
          <w:p w14:paraId="07BE7617" w14:textId="77777777" w:rsidR="008A1281" w:rsidRPr="00EA28CB" w:rsidRDefault="008A1281" w:rsidP="004320C0">
            <w:pPr>
              <w:spacing w:after="0" w:line="240" w:lineRule="auto"/>
            </w:pPr>
            <w:r w:rsidRPr="00EA28CB">
              <w:t>0.02</w:t>
            </w:r>
          </w:p>
        </w:tc>
        <w:tc>
          <w:tcPr>
            <w:tcW w:w="1219" w:type="dxa"/>
            <w:tcBorders>
              <w:top w:val="nil"/>
              <w:left w:val="nil"/>
              <w:bottom w:val="single" w:sz="4" w:space="0" w:color="auto"/>
              <w:right w:val="nil"/>
            </w:tcBorders>
            <w:shd w:val="clear" w:color="auto" w:fill="auto"/>
            <w:noWrap/>
            <w:vAlign w:val="bottom"/>
            <w:hideMark/>
          </w:tcPr>
          <w:p w14:paraId="30C4F778" w14:textId="06BF5760" w:rsidR="008A1281" w:rsidRPr="00EA28CB" w:rsidRDefault="008A1281" w:rsidP="004320C0">
            <w:pPr>
              <w:spacing w:after="0" w:line="240" w:lineRule="auto"/>
            </w:pPr>
            <w:r w:rsidRPr="00EA28CB">
              <w:t>0</w:t>
            </w:r>
            <w:r w:rsidR="004D5992">
              <w:t>.01</w:t>
            </w:r>
          </w:p>
        </w:tc>
      </w:tr>
    </w:tbl>
    <w:p w14:paraId="05E19028" w14:textId="77777777" w:rsidR="008A1281" w:rsidRDefault="008A1281" w:rsidP="004320C0">
      <w:pPr>
        <w:spacing w:after="0" w:line="240" w:lineRule="auto"/>
      </w:pPr>
    </w:p>
    <w:p w14:paraId="3964054E" w14:textId="6BAF4B93" w:rsidR="008A1281" w:rsidRDefault="008A1281" w:rsidP="004320C0">
      <w:pPr>
        <w:spacing w:after="0" w:line="240" w:lineRule="auto"/>
      </w:pPr>
      <w:r w:rsidRPr="00BF7523">
        <w:t xml:space="preserve">Note: </w:t>
      </w:r>
      <w:r>
        <w:t>T</w:t>
      </w:r>
      <w:r w:rsidRPr="00BF7523">
        <w:t xml:space="preserve">he visit “count” predictor is not included as it is, by definition, 100% in all </w:t>
      </w:r>
      <w:r w:rsidR="008B598D">
        <w:t>groups</w:t>
      </w:r>
      <w:r w:rsidRPr="00BF7523">
        <w:t>.</w:t>
      </w:r>
    </w:p>
    <w:p w14:paraId="2BF13B58" w14:textId="77777777" w:rsidR="008B598D" w:rsidRPr="00127E34" w:rsidRDefault="008B598D" w:rsidP="00764234"/>
    <w:p w14:paraId="0AE0A7CD" w14:textId="6D291AB9" w:rsidR="008A1281" w:rsidRDefault="00CA1B40" w:rsidP="00764234">
      <w:pPr>
        <w:pStyle w:val="Heading2"/>
      </w:pPr>
      <w:r>
        <w:t xml:space="preserve">Appendix </w:t>
      </w:r>
      <w:r w:rsidR="00B16DC4">
        <w:t>F</w:t>
      </w:r>
      <w:r>
        <w:t xml:space="preserve"> </w:t>
      </w:r>
      <w:r w:rsidR="008B598D">
        <w:t xml:space="preserve">- </w:t>
      </w:r>
      <w:r>
        <w:t>Count ranking in different models</w:t>
      </w:r>
    </w:p>
    <w:p w14:paraId="03FB0055" w14:textId="11062EEF" w:rsidR="00C96D53" w:rsidRPr="00C430D2" w:rsidRDefault="00C96D53" w:rsidP="004320C0">
      <w:pPr>
        <w:spacing w:after="0" w:line="240" w:lineRule="auto"/>
        <w:rPr>
          <w:b/>
          <w:bCs/>
        </w:rPr>
      </w:pPr>
      <w:bookmarkStart w:id="11" w:name="_Toc115959757"/>
      <w:r w:rsidRPr="00C430D2">
        <w:rPr>
          <w:b/>
          <w:bCs/>
        </w:rPr>
        <w:t xml:space="preserve">Table </w:t>
      </w:r>
      <w:r w:rsidRPr="00C430D2">
        <w:rPr>
          <w:b/>
          <w:bCs/>
        </w:rPr>
        <w:fldChar w:fldCharType="begin"/>
      </w:r>
      <w:r w:rsidRPr="00C430D2">
        <w:rPr>
          <w:b/>
          <w:bCs/>
        </w:rPr>
        <w:instrText xml:space="preserve"> SEQ Table \* ARABIC </w:instrText>
      </w:r>
      <w:r w:rsidRPr="00C430D2">
        <w:rPr>
          <w:b/>
          <w:bCs/>
        </w:rPr>
        <w:fldChar w:fldCharType="separate"/>
      </w:r>
      <w:r w:rsidR="00D077A3" w:rsidRPr="00C430D2">
        <w:rPr>
          <w:b/>
          <w:bCs/>
          <w:noProof/>
        </w:rPr>
        <w:t>8</w:t>
      </w:r>
      <w:r w:rsidRPr="00C430D2">
        <w:rPr>
          <w:b/>
          <w:bCs/>
        </w:rPr>
        <w:fldChar w:fldCharType="end"/>
      </w:r>
      <w:r w:rsidRPr="00C430D2">
        <w:rPr>
          <w:b/>
          <w:bCs/>
        </w:rPr>
        <w:t xml:space="preserve"> </w:t>
      </w:r>
    </w:p>
    <w:p w14:paraId="483EC038" w14:textId="77777777" w:rsidR="004320C0" w:rsidRPr="004320C0" w:rsidRDefault="004320C0" w:rsidP="004320C0">
      <w:pPr>
        <w:spacing w:after="0" w:line="240" w:lineRule="auto"/>
        <w:rPr>
          <w:b/>
          <w:bCs/>
        </w:rPr>
      </w:pPr>
    </w:p>
    <w:p w14:paraId="4F4864E4" w14:textId="77777777" w:rsidR="00C96D53" w:rsidRDefault="00C96D53" w:rsidP="004320C0">
      <w:pPr>
        <w:spacing w:after="0" w:line="240" w:lineRule="auto"/>
        <w:rPr>
          <w:i/>
          <w:iCs/>
        </w:rPr>
      </w:pPr>
      <w:proofErr w:type="spellStart"/>
      <w:r w:rsidRPr="004320C0">
        <w:rPr>
          <w:i/>
          <w:iCs/>
        </w:rPr>
        <w:t>Rpart</w:t>
      </w:r>
      <w:proofErr w:type="spellEnd"/>
      <w:r w:rsidRPr="004320C0">
        <w:rPr>
          <w:i/>
          <w:iCs/>
        </w:rPr>
        <w:t>, Prediction Rules Ensemble and logistic regression model variable importance rankings</w:t>
      </w:r>
      <w:bookmarkEnd w:id="11"/>
    </w:p>
    <w:p w14:paraId="66408007" w14:textId="77777777" w:rsidR="004320C0" w:rsidRPr="004320C0" w:rsidRDefault="004320C0" w:rsidP="004320C0">
      <w:pPr>
        <w:spacing w:after="0" w:line="240" w:lineRule="auto"/>
        <w:rPr>
          <w:i/>
          <w:iCs/>
        </w:rPr>
      </w:pPr>
    </w:p>
    <w:p w14:paraId="01D98FF0" w14:textId="77777777" w:rsidR="004320C0" w:rsidRPr="00E019D6" w:rsidRDefault="004320C0" w:rsidP="004320C0">
      <w:pPr>
        <w:spacing w:after="0" w:line="24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266"/>
        <w:gridCol w:w="2291"/>
        <w:gridCol w:w="1976"/>
      </w:tblGrid>
      <w:tr w:rsidR="00C96D53" w:rsidRPr="007132E7" w14:paraId="19101981" w14:textId="77777777" w:rsidTr="006A68F1">
        <w:tc>
          <w:tcPr>
            <w:tcW w:w="2486" w:type="dxa"/>
            <w:tcBorders>
              <w:bottom w:val="single" w:sz="4" w:space="0" w:color="auto"/>
            </w:tcBorders>
          </w:tcPr>
          <w:p w14:paraId="27535885" w14:textId="77777777" w:rsidR="00C96D53" w:rsidRPr="007132E7" w:rsidRDefault="00C96D53" w:rsidP="004320C0">
            <w:pPr>
              <w:spacing w:line="240" w:lineRule="auto"/>
            </w:pPr>
            <w:r w:rsidRPr="007132E7">
              <w:t>Model/</w:t>
            </w:r>
          </w:p>
          <w:p w14:paraId="4377AA0D" w14:textId="77777777" w:rsidR="00C96D53" w:rsidRPr="007132E7" w:rsidRDefault="00C96D53" w:rsidP="004320C0">
            <w:pPr>
              <w:spacing w:line="240" w:lineRule="auto"/>
            </w:pPr>
            <w:r w:rsidRPr="007132E7">
              <w:t>Predictor</w:t>
            </w:r>
          </w:p>
        </w:tc>
        <w:tc>
          <w:tcPr>
            <w:tcW w:w="2266" w:type="dxa"/>
            <w:tcBorders>
              <w:bottom w:val="single" w:sz="4" w:space="0" w:color="auto"/>
            </w:tcBorders>
          </w:tcPr>
          <w:p w14:paraId="60C3965A" w14:textId="77777777" w:rsidR="00C96D53" w:rsidRPr="007132E7" w:rsidRDefault="00C96D53" w:rsidP="004320C0">
            <w:pPr>
              <w:spacing w:line="240" w:lineRule="auto"/>
            </w:pPr>
            <w:proofErr w:type="spellStart"/>
            <w:r w:rsidRPr="007132E7">
              <w:t>Rpart</w:t>
            </w:r>
            <w:proofErr w:type="spellEnd"/>
            <w:r w:rsidRPr="007132E7">
              <w:t xml:space="preserve"> variable importance rank</w:t>
            </w:r>
          </w:p>
        </w:tc>
        <w:tc>
          <w:tcPr>
            <w:tcW w:w="2291" w:type="dxa"/>
            <w:tcBorders>
              <w:bottom w:val="single" w:sz="4" w:space="0" w:color="auto"/>
            </w:tcBorders>
          </w:tcPr>
          <w:p w14:paraId="4A6BEE89" w14:textId="77777777" w:rsidR="00C96D53" w:rsidRPr="007132E7" w:rsidRDefault="00C96D53" w:rsidP="004320C0">
            <w:pPr>
              <w:spacing w:line="240" w:lineRule="auto"/>
            </w:pPr>
            <w:r w:rsidRPr="007132E7">
              <w:t>Prediction Rules Ensemble variable importance rank</w:t>
            </w:r>
          </w:p>
        </w:tc>
        <w:tc>
          <w:tcPr>
            <w:tcW w:w="1976" w:type="dxa"/>
            <w:tcBorders>
              <w:bottom w:val="single" w:sz="4" w:space="0" w:color="auto"/>
            </w:tcBorders>
          </w:tcPr>
          <w:p w14:paraId="29AAD091" w14:textId="77777777" w:rsidR="00C96D53" w:rsidRPr="007132E7" w:rsidRDefault="00C96D53" w:rsidP="004320C0">
            <w:pPr>
              <w:spacing w:line="240" w:lineRule="auto"/>
            </w:pPr>
            <w:r w:rsidRPr="007132E7">
              <w:t>Replication logistic regression variable importance rank</w:t>
            </w:r>
          </w:p>
        </w:tc>
      </w:tr>
      <w:tr w:rsidR="00C96D53" w:rsidRPr="007132E7" w14:paraId="2F2127D5" w14:textId="77777777" w:rsidTr="006A68F1">
        <w:tc>
          <w:tcPr>
            <w:tcW w:w="2486" w:type="dxa"/>
            <w:tcBorders>
              <w:top w:val="single" w:sz="4" w:space="0" w:color="auto"/>
            </w:tcBorders>
          </w:tcPr>
          <w:p w14:paraId="19AF20A3" w14:textId="77777777" w:rsidR="00C96D53" w:rsidRPr="007132E7" w:rsidRDefault="00C96D53" w:rsidP="004320C0">
            <w:pPr>
              <w:spacing w:line="240" w:lineRule="auto"/>
            </w:pPr>
            <w:r w:rsidRPr="007132E7">
              <w:t>Anxiety</w:t>
            </w:r>
          </w:p>
        </w:tc>
        <w:tc>
          <w:tcPr>
            <w:tcW w:w="2266" w:type="dxa"/>
            <w:tcBorders>
              <w:top w:val="single" w:sz="4" w:space="0" w:color="auto"/>
            </w:tcBorders>
          </w:tcPr>
          <w:p w14:paraId="6E83DE96" w14:textId="77777777" w:rsidR="00C96D53" w:rsidRPr="007132E7" w:rsidRDefault="00C96D53" w:rsidP="004320C0">
            <w:pPr>
              <w:spacing w:line="240" w:lineRule="auto"/>
            </w:pPr>
            <w:r w:rsidRPr="007132E7">
              <w:t>1</w:t>
            </w:r>
          </w:p>
        </w:tc>
        <w:tc>
          <w:tcPr>
            <w:tcW w:w="2291" w:type="dxa"/>
            <w:tcBorders>
              <w:top w:val="single" w:sz="4" w:space="0" w:color="auto"/>
            </w:tcBorders>
          </w:tcPr>
          <w:p w14:paraId="53FF045F" w14:textId="77777777" w:rsidR="00C96D53" w:rsidRPr="007132E7" w:rsidRDefault="00C96D53" w:rsidP="004320C0">
            <w:pPr>
              <w:spacing w:line="240" w:lineRule="auto"/>
            </w:pPr>
            <w:r w:rsidRPr="007132E7">
              <w:t>3</w:t>
            </w:r>
          </w:p>
        </w:tc>
        <w:tc>
          <w:tcPr>
            <w:tcW w:w="1976" w:type="dxa"/>
            <w:tcBorders>
              <w:top w:val="single" w:sz="4" w:space="0" w:color="auto"/>
            </w:tcBorders>
          </w:tcPr>
          <w:p w14:paraId="79578F4B" w14:textId="77777777" w:rsidR="00C96D53" w:rsidRPr="007132E7" w:rsidRDefault="00C96D53" w:rsidP="004320C0">
            <w:pPr>
              <w:spacing w:line="240" w:lineRule="auto"/>
            </w:pPr>
            <w:r w:rsidRPr="007132E7">
              <w:t>3</w:t>
            </w:r>
          </w:p>
        </w:tc>
      </w:tr>
      <w:tr w:rsidR="00C96D53" w:rsidRPr="007132E7" w14:paraId="79E4353A" w14:textId="77777777" w:rsidTr="006A68F1">
        <w:tc>
          <w:tcPr>
            <w:tcW w:w="2486" w:type="dxa"/>
          </w:tcPr>
          <w:p w14:paraId="2601EC53" w14:textId="77777777" w:rsidR="00C96D53" w:rsidRPr="007132E7" w:rsidRDefault="00C96D53" w:rsidP="004320C0">
            <w:pPr>
              <w:spacing w:line="240" w:lineRule="auto"/>
            </w:pPr>
            <w:r w:rsidRPr="007132E7">
              <w:t>Count</w:t>
            </w:r>
          </w:p>
        </w:tc>
        <w:tc>
          <w:tcPr>
            <w:tcW w:w="2266" w:type="dxa"/>
          </w:tcPr>
          <w:p w14:paraId="32D3ECBE" w14:textId="77777777" w:rsidR="00C96D53" w:rsidRPr="007132E7" w:rsidRDefault="00C96D53" w:rsidP="004320C0">
            <w:pPr>
              <w:spacing w:line="240" w:lineRule="auto"/>
            </w:pPr>
            <w:r w:rsidRPr="007132E7">
              <w:t>2</w:t>
            </w:r>
          </w:p>
        </w:tc>
        <w:tc>
          <w:tcPr>
            <w:tcW w:w="2291" w:type="dxa"/>
          </w:tcPr>
          <w:p w14:paraId="072DFE88" w14:textId="77777777" w:rsidR="00C96D53" w:rsidRPr="007132E7" w:rsidRDefault="00C96D53" w:rsidP="004320C0">
            <w:pPr>
              <w:spacing w:line="240" w:lineRule="auto"/>
            </w:pPr>
            <w:r w:rsidRPr="007132E7">
              <w:t>2</w:t>
            </w:r>
          </w:p>
        </w:tc>
        <w:tc>
          <w:tcPr>
            <w:tcW w:w="1976" w:type="dxa"/>
          </w:tcPr>
          <w:p w14:paraId="0A8A6227" w14:textId="77777777" w:rsidR="00C96D53" w:rsidRPr="007132E7" w:rsidRDefault="00C96D53" w:rsidP="004320C0">
            <w:pPr>
              <w:spacing w:line="240" w:lineRule="auto"/>
            </w:pPr>
            <w:r w:rsidRPr="007132E7">
              <w:t>2</w:t>
            </w:r>
          </w:p>
        </w:tc>
      </w:tr>
      <w:tr w:rsidR="00C96D53" w:rsidRPr="007132E7" w14:paraId="160CF7B5" w14:textId="77777777" w:rsidTr="006A68F1">
        <w:tc>
          <w:tcPr>
            <w:tcW w:w="2486" w:type="dxa"/>
          </w:tcPr>
          <w:p w14:paraId="42DAE1B7" w14:textId="77777777" w:rsidR="00C96D53" w:rsidRPr="007132E7" w:rsidRDefault="00C96D53" w:rsidP="004320C0">
            <w:pPr>
              <w:spacing w:line="240" w:lineRule="auto"/>
            </w:pPr>
            <w:r w:rsidRPr="007132E7">
              <w:t>Eating disorder</w:t>
            </w:r>
          </w:p>
        </w:tc>
        <w:tc>
          <w:tcPr>
            <w:tcW w:w="2266" w:type="dxa"/>
          </w:tcPr>
          <w:p w14:paraId="6211F5D5" w14:textId="77777777" w:rsidR="00C96D53" w:rsidRPr="007132E7" w:rsidRDefault="00C96D53" w:rsidP="004320C0">
            <w:pPr>
              <w:spacing w:line="240" w:lineRule="auto"/>
            </w:pPr>
            <w:r w:rsidRPr="007132E7">
              <w:t>3</w:t>
            </w:r>
          </w:p>
        </w:tc>
        <w:tc>
          <w:tcPr>
            <w:tcW w:w="2291" w:type="dxa"/>
          </w:tcPr>
          <w:p w14:paraId="6610C9BD" w14:textId="77777777" w:rsidR="00C96D53" w:rsidRPr="007132E7" w:rsidRDefault="00C96D53" w:rsidP="004320C0">
            <w:pPr>
              <w:spacing w:line="240" w:lineRule="auto"/>
            </w:pPr>
            <w:r w:rsidRPr="007132E7">
              <w:t>7</w:t>
            </w:r>
          </w:p>
        </w:tc>
        <w:tc>
          <w:tcPr>
            <w:tcW w:w="1976" w:type="dxa"/>
          </w:tcPr>
          <w:p w14:paraId="2D183DF0" w14:textId="77777777" w:rsidR="00C96D53" w:rsidRPr="007132E7" w:rsidRDefault="00C96D53" w:rsidP="004320C0">
            <w:pPr>
              <w:spacing w:line="240" w:lineRule="auto"/>
            </w:pPr>
            <w:r w:rsidRPr="007132E7">
              <w:t>7</w:t>
            </w:r>
          </w:p>
        </w:tc>
      </w:tr>
      <w:tr w:rsidR="00C96D53" w:rsidRPr="007132E7" w14:paraId="425C7763" w14:textId="77777777" w:rsidTr="006A68F1">
        <w:tc>
          <w:tcPr>
            <w:tcW w:w="2486" w:type="dxa"/>
          </w:tcPr>
          <w:p w14:paraId="0A87943A" w14:textId="77777777" w:rsidR="00C96D53" w:rsidRPr="007132E7" w:rsidRDefault="00C96D53" w:rsidP="004320C0">
            <w:pPr>
              <w:spacing w:line="240" w:lineRule="auto"/>
            </w:pPr>
            <w:r w:rsidRPr="007132E7">
              <w:t>Headache</w:t>
            </w:r>
          </w:p>
        </w:tc>
        <w:tc>
          <w:tcPr>
            <w:tcW w:w="2266" w:type="dxa"/>
          </w:tcPr>
          <w:p w14:paraId="0E4E34C3" w14:textId="77777777" w:rsidR="00C96D53" w:rsidRPr="007132E7" w:rsidRDefault="00C96D53" w:rsidP="004320C0">
            <w:pPr>
              <w:spacing w:line="240" w:lineRule="auto"/>
            </w:pPr>
            <w:r w:rsidRPr="007132E7">
              <w:t>4</w:t>
            </w:r>
          </w:p>
        </w:tc>
        <w:tc>
          <w:tcPr>
            <w:tcW w:w="2291" w:type="dxa"/>
          </w:tcPr>
          <w:p w14:paraId="694ADF73" w14:textId="77777777" w:rsidR="00C96D53" w:rsidRPr="007132E7" w:rsidRDefault="00C96D53" w:rsidP="004320C0">
            <w:pPr>
              <w:spacing w:line="240" w:lineRule="auto"/>
            </w:pPr>
            <w:r w:rsidRPr="007132E7">
              <w:t>6</w:t>
            </w:r>
          </w:p>
        </w:tc>
        <w:tc>
          <w:tcPr>
            <w:tcW w:w="1976" w:type="dxa"/>
          </w:tcPr>
          <w:p w14:paraId="786B2AF8" w14:textId="77777777" w:rsidR="00C96D53" w:rsidRPr="007132E7" w:rsidRDefault="00C96D53" w:rsidP="004320C0">
            <w:pPr>
              <w:spacing w:line="240" w:lineRule="auto"/>
            </w:pPr>
            <w:r w:rsidRPr="007132E7">
              <w:t>5</w:t>
            </w:r>
          </w:p>
        </w:tc>
      </w:tr>
      <w:tr w:rsidR="00C96D53" w:rsidRPr="007132E7" w14:paraId="526860D1" w14:textId="77777777" w:rsidTr="006A68F1">
        <w:tc>
          <w:tcPr>
            <w:tcW w:w="2486" w:type="dxa"/>
            <w:tcBorders>
              <w:bottom w:val="single" w:sz="4" w:space="0" w:color="auto"/>
            </w:tcBorders>
          </w:tcPr>
          <w:p w14:paraId="705CDE37" w14:textId="77777777" w:rsidR="00C96D53" w:rsidRPr="007132E7" w:rsidRDefault="00C96D53" w:rsidP="004320C0">
            <w:pPr>
              <w:spacing w:line="240" w:lineRule="auto"/>
            </w:pPr>
            <w:r w:rsidRPr="007132E7">
              <w:t>Low mood</w:t>
            </w:r>
          </w:p>
        </w:tc>
        <w:tc>
          <w:tcPr>
            <w:tcW w:w="2266" w:type="dxa"/>
            <w:tcBorders>
              <w:bottom w:val="single" w:sz="4" w:space="0" w:color="auto"/>
            </w:tcBorders>
          </w:tcPr>
          <w:p w14:paraId="35C5C83C" w14:textId="77777777" w:rsidR="00C96D53" w:rsidRPr="007132E7" w:rsidRDefault="00C96D53" w:rsidP="004320C0">
            <w:pPr>
              <w:spacing w:line="240" w:lineRule="auto"/>
            </w:pPr>
            <w:r w:rsidRPr="007132E7">
              <w:t>5</w:t>
            </w:r>
          </w:p>
        </w:tc>
        <w:tc>
          <w:tcPr>
            <w:tcW w:w="2291" w:type="dxa"/>
            <w:tcBorders>
              <w:bottom w:val="single" w:sz="4" w:space="0" w:color="auto"/>
            </w:tcBorders>
          </w:tcPr>
          <w:p w14:paraId="7F9F8122" w14:textId="77777777" w:rsidR="00C96D53" w:rsidRPr="007132E7" w:rsidRDefault="00C96D53" w:rsidP="004320C0">
            <w:pPr>
              <w:spacing w:line="240" w:lineRule="auto"/>
            </w:pPr>
            <w:r w:rsidRPr="007132E7">
              <w:t>1</w:t>
            </w:r>
          </w:p>
        </w:tc>
        <w:tc>
          <w:tcPr>
            <w:tcW w:w="1976" w:type="dxa"/>
            <w:tcBorders>
              <w:bottom w:val="single" w:sz="4" w:space="0" w:color="auto"/>
            </w:tcBorders>
          </w:tcPr>
          <w:p w14:paraId="2529DF4D" w14:textId="77777777" w:rsidR="00C96D53" w:rsidRPr="007132E7" w:rsidRDefault="00C96D53" w:rsidP="004320C0">
            <w:pPr>
              <w:spacing w:line="240" w:lineRule="auto"/>
            </w:pPr>
            <w:r w:rsidRPr="007132E7">
              <w:t>1</w:t>
            </w:r>
          </w:p>
        </w:tc>
      </w:tr>
    </w:tbl>
    <w:p w14:paraId="09571596" w14:textId="77777777" w:rsidR="00C96D53" w:rsidRPr="007132E7" w:rsidRDefault="00C96D53" w:rsidP="00764234"/>
    <w:p w14:paraId="4870DE60" w14:textId="6A9135F3" w:rsidR="00C96D53" w:rsidRPr="004320C0" w:rsidRDefault="00C96D53" w:rsidP="004320C0">
      <w:pPr>
        <w:spacing w:after="0"/>
        <w:rPr>
          <w:b/>
          <w:bCs/>
        </w:rPr>
      </w:pPr>
      <w:bookmarkStart w:id="12" w:name="_Toc115959758"/>
      <w:r w:rsidRPr="004320C0">
        <w:rPr>
          <w:b/>
          <w:bCs/>
        </w:rPr>
        <w:t xml:space="preserve">Table </w:t>
      </w:r>
      <w:r w:rsidRPr="004320C0">
        <w:rPr>
          <w:b/>
          <w:bCs/>
        </w:rPr>
        <w:fldChar w:fldCharType="begin"/>
      </w:r>
      <w:r w:rsidRPr="004320C0">
        <w:rPr>
          <w:b/>
          <w:bCs/>
        </w:rPr>
        <w:instrText xml:space="preserve"> SEQ Table \* ARABIC </w:instrText>
      </w:r>
      <w:r w:rsidRPr="004320C0">
        <w:rPr>
          <w:b/>
          <w:bCs/>
        </w:rPr>
        <w:fldChar w:fldCharType="separate"/>
      </w:r>
      <w:r w:rsidR="00D077A3" w:rsidRPr="004320C0">
        <w:rPr>
          <w:b/>
          <w:bCs/>
          <w:noProof/>
        </w:rPr>
        <w:t>9</w:t>
      </w:r>
      <w:r w:rsidRPr="004320C0">
        <w:rPr>
          <w:b/>
          <w:bCs/>
        </w:rPr>
        <w:fldChar w:fldCharType="end"/>
      </w:r>
      <w:r w:rsidRPr="004320C0">
        <w:rPr>
          <w:b/>
          <w:bCs/>
        </w:rPr>
        <w:t xml:space="preserve"> </w:t>
      </w:r>
    </w:p>
    <w:p w14:paraId="2D0FE8A3" w14:textId="77777777" w:rsidR="00C96D53" w:rsidRPr="004320C0" w:rsidRDefault="00C96D53" w:rsidP="00764234">
      <w:pPr>
        <w:rPr>
          <w:i/>
          <w:iCs/>
        </w:rPr>
      </w:pPr>
      <w:r w:rsidRPr="004320C0">
        <w:rPr>
          <w:i/>
          <w:iCs/>
        </w:rPr>
        <w:t xml:space="preserve">Count comparison ranked predictors by Odds Ratio – F 15-18 regression models. </w:t>
      </w:r>
      <w:bookmarkEnd w:id="12"/>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243"/>
        <w:gridCol w:w="1305"/>
        <w:gridCol w:w="1122"/>
        <w:gridCol w:w="1260"/>
        <w:gridCol w:w="1305"/>
        <w:gridCol w:w="1097"/>
      </w:tblGrid>
      <w:tr w:rsidR="00C96D53" w:rsidRPr="007132E7" w14:paraId="290AAB80" w14:textId="77777777" w:rsidTr="006A68F1">
        <w:trPr>
          <w:trHeight w:val="300"/>
        </w:trPr>
        <w:tc>
          <w:tcPr>
            <w:tcW w:w="1696" w:type="dxa"/>
            <w:noWrap/>
          </w:tcPr>
          <w:p w14:paraId="565C84F0" w14:textId="77777777" w:rsidR="00C96D53" w:rsidRPr="0040204E" w:rsidRDefault="00C96D53" w:rsidP="004320C0">
            <w:pPr>
              <w:spacing w:line="240" w:lineRule="auto"/>
            </w:pPr>
          </w:p>
        </w:tc>
        <w:tc>
          <w:tcPr>
            <w:tcW w:w="3671" w:type="dxa"/>
            <w:gridSpan w:val="3"/>
            <w:tcBorders>
              <w:bottom w:val="single" w:sz="4" w:space="0" w:color="auto"/>
            </w:tcBorders>
            <w:noWrap/>
          </w:tcPr>
          <w:p w14:paraId="3664CF38" w14:textId="77777777" w:rsidR="00C96D53" w:rsidRPr="0040204E" w:rsidRDefault="00C96D53" w:rsidP="004320C0">
            <w:pPr>
              <w:spacing w:line="240" w:lineRule="auto"/>
            </w:pPr>
            <w:r>
              <w:t>Odds ratios</w:t>
            </w:r>
          </w:p>
        </w:tc>
        <w:tc>
          <w:tcPr>
            <w:tcW w:w="3662" w:type="dxa"/>
            <w:gridSpan w:val="3"/>
            <w:tcBorders>
              <w:bottom w:val="single" w:sz="4" w:space="0" w:color="auto"/>
            </w:tcBorders>
            <w:noWrap/>
          </w:tcPr>
          <w:p w14:paraId="546E5DA0" w14:textId="77777777" w:rsidR="00C96D53" w:rsidRPr="0040204E" w:rsidRDefault="00C96D53" w:rsidP="004320C0">
            <w:pPr>
              <w:spacing w:line="240" w:lineRule="auto"/>
            </w:pPr>
            <w:r>
              <w:t>Ranked</w:t>
            </w:r>
          </w:p>
        </w:tc>
      </w:tr>
      <w:tr w:rsidR="00C96D53" w:rsidRPr="007132E7" w14:paraId="0F46264B" w14:textId="77777777" w:rsidTr="006A68F1">
        <w:trPr>
          <w:trHeight w:val="300"/>
        </w:trPr>
        <w:tc>
          <w:tcPr>
            <w:tcW w:w="1696" w:type="dxa"/>
            <w:tcBorders>
              <w:bottom w:val="single" w:sz="4" w:space="0" w:color="auto"/>
            </w:tcBorders>
            <w:noWrap/>
            <w:hideMark/>
          </w:tcPr>
          <w:p w14:paraId="19622851" w14:textId="77777777" w:rsidR="00C96D53" w:rsidRDefault="00C96D53" w:rsidP="004320C0">
            <w:pPr>
              <w:spacing w:line="240" w:lineRule="auto"/>
            </w:pPr>
          </w:p>
          <w:p w14:paraId="65B16498" w14:textId="77777777" w:rsidR="00C96D53" w:rsidRPr="0040204E" w:rsidRDefault="00C96D53" w:rsidP="004320C0">
            <w:pPr>
              <w:spacing w:line="240" w:lineRule="auto"/>
            </w:pPr>
            <w:r w:rsidRPr="0040204E">
              <w:t>Model</w:t>
            </w:r>
          </w:p>
          <w:p w14:paraId="616D0BC2" w14:textId="77777777" w:rsidR="00C96D53" w:rsidRDefault="00C96D53" w:rsidP="004320C0">
            <w:pPr>
              <w:spacing w:line="240" w:lineRule="auto"/>
            </w:pPr>
          </w:p>
          <w:p w14:paraId="2F690AF0" w14:textId="77777777" w:rsidR="00C96D53" w:rsidRPr="0040204E" w:rsidRDefault="00C96D53" w:rsidP="004320C0">
            <w:pPr>
              <w:spacing w:line="240" w:lineRule="auto"/>
            </w:pPr>
            <w:r w:rsidRPr="0040204E">
              <w:t>Predictor</w:t>
            </w:r>
          </w:p>
        </w:tc>
        <w:tc>
          <w:tcPr>
            <w:tcW w:w="1244" w:type="dxa"/>
            <w:tcBorders>
              <w:top w:val="single" w:sz="4" w:space="0" w:color="auto"/>
              <w:bottom w:val="single" w:sz="4" w:space="0" w:color="auto"/>
            </w:tcBorders>
            <w:noWrap/>
            <w:hideMark/>
          </w:tcPr>
          <w:p w14:paraId="6BD55D85" w14:textId="77777777" w:rsidR="00C96D53" w:rsidRDefault="00C96D53" w:rsidP="004320C0">
            <w:pPr>
              <w:spacing w:line="240" w:lineRule="auto"/>
            </w:pPr>
            <w:r w:rsidRPr="0040204E">
              <w:t>NRCBM</w:t>
            </w:r>
          </w:p>
          <w:p w14:paraId="7371AA54" w14:textId="77777777" w:rsidR="00C96D53" w:rsidRPr="0040204E" w:rsidRDefault="00C96D53" w:rsidP="004320C0">
            <w:pPr>
              <w:spacing w:line="240" w:lineRule="auto"/>
            </w:pPr>
            <w:r w:rsidRPr="0040204E">
              <w:t>Stepwise logistic regression</w:t>
            </w:r>
          </w:p>
        </w:tc>
        <w:tc>
          <w:tcPr>
            <w:tcW w:w="1305" w:type="dxa"/>
            <w:tcBorders>
              <w:top w:val="single" w:sz="4" w:space="0" w:color="auto"/>
              <w:bottom w:val="single" w:sz="4" w:space="0" w:color="auto"/>
            </w:tcBorders>
            <w:noWrap/>
            <w:hideMark/>
          </w:tcPr>
          <w:p w14:paraId="6AA051D2" w14:textId="77777777" w:rsidR="00C96D53" w:rsidRDefault="00C96D53" w:rsidP="004320C0">
            <w:pPr>
              <w:spacing w:line="240" w:lineRule="auto"/>
            </w:pPr>
            <w:r w:rsidRPr="0040204E">
              <w:t xml:space="preserve">Replication </w:t>
            </w:r>
          </w:p>
          <w:p w14:paraId="236FE87E" w14:textId="77777777" w:rsidR="00C96D53" w:rsidRPr="0040204E" w:rsidRDefault="00C96D53" w:rsidP="004320C0">
            <w:pPr>
              <w:spacing w:line="240" w:lineRule="auto"/>
            </w:pPr>
            <w:r w:rsidRPr="0040204E">
              <w:t>logistic regression</w:t>
            </w:r>
          </w:p>
        </w:tc>
        <w:tc>
          <w:tcPr>
            <w:tcW w:w="1122" w:type="dxa"/>
            <w:tcBorders>
              <w:top w:val="single" w:sz="4" w:space="0" w:color="auto"/>
              <w:bottom w:val="single" w:sz="4" w:space="0" w:color="auto"/>
            </w:tcBorders>
          </w:tcPr>
          <w:p w14:paraId="1736DF46" w14:textId="77777777" w:rsidR="00C96D53" w:rsidRPr="0040204E" w:rsidRDefault="00C96D53" w:rsidP="004320C0">
            <w:pPr>
              <w:spacing w:line="240" w:lineRule="auto"/>
            </w:pPr>
            <w:r w:rsidRPr="0040204E">
              <w:t>LASSO</w:t>
            </w:r>
          </w:p>
        </w:tc>
        <w:tc>
          <w:tcPr>
            <w:tcW w:w="1260" w:type="dxa"/>
            <w:tcBorders>
              <w:bottom w:val="single" w:sz="4" w:space="0" w:color="auto"/>
            </w:tcBorders>
            <w:noWrap/>
            <w:hideMark/>
          </w:tcPr>
          <w:p w14:paraId="2F204E6E" w14:textId="77777777" w:rsidR="00C96D53" w:rsidRPr="0040204E" w:rsidRDefault="00C96D53" w:rsidP="004320C0">
            <w:pPr>
              <w:spacing w:line="240" w:lineRule="auto"/>
            </w:pPr>
            <w:r w:rsidRPr="0040204E">
              <w:t>NRCBM</w:t>
            </w:r>
          </w:p>
          <w:p w14:paraId="056DAF2D" w14:textId="77777777" w:rsidR="00C96D53" w:rsidRPr="0040204E" w:rsidRDefault="00C96D53" w:rsidP="004320C0">
            <w:pPr>
              <w:spacing w:line="240" w:lineRule="auto"/>
            </w:pPr>
            <w:r w:rsidRPr="0040204E">
              <w:t>Stepwise logistic regression</w:t>
            </w:r>
          </w:p>
        </w:tc>
        <w:tc>
          <w:tcPr>
            <w:tcW w:w="1305" w:type="dxa"/>
            <w:tcBorders>
              <w:bottom w:val="single" w:sz="4" w:space="0" w:color="auto"/>
            </w:tcBorders>
            <w:noWrap/>
            <w:hideMark/>
          </w:tcPr>
          <w:p w14:paraId="5BE60353" w14:textId="77777777" w:rsidR="00C96D53" w:rsidRPr="0040204E" w:rsidRDefault="00C96D53" w:rsidP="004320C0">
            <w:pPr>
              <w:spacing w:line="240" w:lineRule="auto"/>
            </w:pPr>
            <w:r w:rsidRPr="0040204E">
              <w:t>Replication</w:t>
            </w:r>
          </w:p>
          <w:p w14:paraId="221A66EA" w14:textId="77777777" w:rsidR="00C96D53" w:rsidRPr="0040204E" w:rsidRDefault="00C96D53" w:rsidP="004320C0">
            <w:pPr>
              <w:spacing w:line="240" w:lineRule="auto"/>
            </w:pPr>
            <w:r w:rsidRPr="0040204E">
              <w:t>logistic regression</w:t>
            </w:r>
          </w:p>
          <w:p w14:paraId="69EAD7BA" w14:textId="77777777" w:rsidR="00C96D53" w:rsidRDefault="00C96D53" w:rsidP="004320C0">
            <w:pPr>
              <w:spacing w:line="240" w:lineRule="auto"/>
            </w:pPr>
          </w:p>
          <w:p w14:paraId="7162E7AA" w14:textId="77777777" w:rsidR="00C96D53" w:rsidRPr="0040204E" w:rsidRDefault="00C96D53" w:rsidP="004320C0">
            <w:pPr>
              <w:spacing w:line="240" w:lineRule="auto"/>
            </w:pPr>
          </w:p>
        </w:tc>
        <w:tc>
          <w:tcPr>
            <w:tcW w:w="1097" w:type="dxa"/>
            <w:tcBorders>
              <w:bottom w:val="single" w:sz="4" w:space="0" w:color="auto"/>
            </w:tcBorders>
          </w:tcPr>
          <w:p w14:paraId="7A5E5094" w14:textId="77777777" w:rsidR="00C96D53" w:rsidRPr="0040204E" w:rsidRDefault="00C96D53" w:rsidP="004320C0">
            <w:pPr>
              <w:spacing w:line="240" w:lineRule="auto"/>
            </w:pPr>
            <w:r w:rsidRPr="0040204E">
              <w:t>LASSO</w:t>
            </w:r>
          </w:p>
        </w:tc>
      </w:tr>
      <w:tr w:rsidR="00C96D53" w:rsidRPr="007132E7" w14:paraId="191D0234" w14:textId="77777777" w:rsidTr="006A68F1">
        <w:trPr>
          <w:trHeight w:val="300"/>
        </w:trPr>
        <w:tc>
          <w:tcPr>
            <w:tcW w:w="1696" w:type="dxa"/>
            <w:tcBorders>
              <w:top w:val="single" w:sz="4" w:space="0" w:color="auto"/>
            </w:tcBorders>
            <w:noWrap/>
            <w:hideMark/>
          </w:tcPr>
          <w:p w14:paraId="1137CDB6" w14:textId="77777777" w:rsidR="00C96D53" w:rsidRPr="007132E7" w:rsidRDefault="00C96D53" w:rsidP="004320C0">
            <w:pPr>
              <w:spacing w:line="240" w:lineRule="auto"/>
            </w:pPr>
            <w:r w:rsidRPr="007132E7">
              <w:t>OCD</w:t>
            </w:r>
          </w:p>
        </w:tc>
        <w:tc>
          <w:tcPr>
            <w:tcW w:w="1244" w:type="dxa"/>
            <w:tcBorders>
              <w:top w:val="single" w:sz="4" w:space="0" w:color="auto"/>
            </w:tcBorders>
            <w:noWrap/>
            <w:hideMark/>
          </w:tcPr>
          <w:p w14:paraId="24DB7704" w14:textId="77777777" w:rsidR="00C96D53" w:rsidRPr="007132E7" w:rsidRDefault="00C96D53" w:rsidP="004320C0">
            <w:pPr>
              <w:spacing w:line="240" w:lineRule="auto"/>
            </w:pPr>
            <w:r w:rsidRPr="007132E7">
              <w:t>8.57</w:t>
            </w:r>
          </w:p>
        </w:tc>
        <w:tc>
          <w:tcPr>
            <w:tcW w:w="1305" w:type="dxa"/>
            <w:tcBorders>
              <w:top w:val="single" w:sz="4" w:space="0" w:color="auto"/>
            </w:tcBorders>
            <w:noWrap/>
            <w:hideMark/>
          </w:tcPr>
          <w:p w14:paraId="12719B43" w14:textId="77777777" w:rsidR="00C96D53" w:rsidRPr="007132E7" w:rsidRDefault="00C96D53" w:rsidP="004320C0">
            <w:pPr>
              <w:spacing w:line="240" w:lineRule="auto"/>
            </w:pPr>
            <w:r w:rsidRPr="007132E7">
              <w:t>17.1</w:t>
            </w:r>
          </w:p>
        </w:tc>
        <w:tc>
          <w:tcPr>
            <w:tcW w:w="1122" w:type="dxa"/>
            <w:tcBorders>
              <w:top w:val="single" w:sz="4" w:space="0" w:color="auto"/>
            </w:tcBorders>
          </w:tcPr>
          <w:p w14:paraId="2B5E25C5" w14:textId="77777777" w:rsidR="00C96D53" w:rsidRPr="007132E7" w:rsidRDefault="00C96D53" w:rsidP="004320C0">
            <w:pPr>
              <w:spacing w:line="240" w:lineRule="auto"/>
            </w:pPr>
            <w:r w:rsidRPr="007132E7">
              <w:t>10.29</w:t>
            </w:r>
          </w:p>
        </w:tc>
        <w:tc>
          <w:tcPr>
            <w:tcW w:w="1260" w:type="dxa"/>
            <w:tcBorders>
              <w:top w:val="single" w:sz="4" w:space="0" w:color="auto"/>
            </w:tcBorders>
            <w:noWrap/>
            <w:hideMark/>
          </w:tcPr>
          <w:p w14:paraId="55DBB488" w14:textId="77777777" w:rsidR="00C96D53" w:rsidRPr="007132E7" w:rsidRDefault="00C96D53" w:rsidP="004320C0">
            <w:pPr>
              <w:spacing w:line="240" w:lineRule="auto"/>
            </w:pPr>
            <w:r w:rsidRPr="007132E7">
              <w:t>1</w:t>
            </w:r>
          </w:p>
        </w:tc>
        <w:tc>
          <w:tcPr>
            <w:tcW w:w="1305" w:type="dxa"/>
            <w:tcBorders>
              <w:top w:val="single" w:sz="4" w:space="0" w:color="auto"/>
            </w:tcBorders>
            <w:noWrap/>
            <w:hideMark/>
          </w:tcPr>
          <w:p w14:paraId="68A9A78F" w14:textId="77777777" w:rsidR="00C96D53" w:rsidRPr="007132E7" w:rsidRDefault="00C96D53" w:rsidP="004320C0">
            <w:pPr>
              <w:spacing w:line="240" w:lineRule="auto"/>
            </w:pPr>
            <w:r w:rsidRPr="007132E7">
              <w:t>2</w:t>
            </w:r>
          </w:p>
        </w:tc>
        <w:tc>
          <w:tcPr>
            <w:tcW w:w="1097" w:type="dxa"/>
            <w:tcBorders>
              <w:top w:val="single" w:sz="4" w:space="0" w:color="auto"/>
            </w:tcBorders>
          </w:tcPr>
          <w:p w14:paraId="4F8E1734" w14:textId="77777777" w:rsidR="00C96D53" w:rsidRPr="007132E7" w:rsidRDefault="00C96D53" w:rsidP="004320C0">
            <w:pPr>
              <w:spacing w:line="240" w:lineRule="auto"/>
            </w:pPr>
            <w:r w:rsidRPr="007132E7">
              <w:t>2</w:t>
            </w:r>
          </w:p>
        </w:tc>
      </w:tr>
      <w:tr w:rsidR="00C96D53" w:rsidRPr="007132E7" w14:paraId="620A006E" w14:textId="77777777" w:rsidTr="006A68F1">
        <w:trPr>
          <w:trHeight w:val="300"/>
        </w:trPr>
        <w:tc>
          <w:tcPr>
            <w:tcW w:w="1696" w:type="dxa"/>
            <w:noWrap/>
            <w:hideMark/>
          </w:tcPr>
          <w:p w14:paraId="08EA5657" w14:textId="77777777" w:rsidR="00C96D53" w:rsidRPr="007132E7" w:rsidRDefault="00C96D53" w:rsidP="004320C0">
            <w:pPr>
              <w:spacing w:line="240" w:lineRule="auto"/>
            </w:pPr>
            <w:r w:rsidRPr="007132E7">
              <w:t>Low Mood</w:t>
            </w:r>
          </w:p>
        </w:tc>
        <w:tc>
          <w:tcPr>
            <w:tcW w:w="1244" w:type="dxa"/>
            <w:noWrap/>
            <w:hideMark/>
          </w:tcPr>
          <w:p w14:paraId="20FF0C18" w14:textId="77777777" w:rsidR="00C96D53" w:rsidRPr="007132E7" w:rsidRDefault="00C96D53" w:rsidP="004320C0">
            <w:pPr>
              <w:spacing w:line="240" w:lineRule="auto"/>
            </w:pPr>
            <w:r w:rsidRPr="007132E7">
              <w:t>5.49</w:t>
            </w:r>
          </w:p>
        </w:tc>
        <w:tc>
          <w:tcPr>
            <w:tcW w:w="1305" w:type="dxa"/>
            <w:noWrap/>
            <w:hideMark/>
          </w:tcPr>
          <w:p w14:paraId="737FA8F1" w14:textId="77777777" w:rsidR="00C96D53" w:rsidRPr="007132E7" w:rsidRDefault="00C96D53" w:rsidP="004320C0">
            <w:pPr>
              <w:spacing w:line="240" w:lineRule="auto"/>
            </w:pPr>
            <w:r w:rsidRPr="007132E7">
              <w:t>45.21</w:t>
            </w:r>
          </w:p>
        </w:tc>
        <w:tc>
          <w:tcPr>
            <w:tcW w:w="1122" w:type="dxa"/>
          </w:tcPr>
          <w:p w14:paraId="0381168C" w14:textId="77777777" w:rsidR="00C96D53" w:rsidRPr="007132E7" w:rsidRDefault="00C96D53" w:rsidP="004320C0">
            <w:pPr>
              <w:spacing w:line="240" w:lineRule="auto"/>
            </w:pPr>
            <w:r w:rsidRPr="007132E7">
              <w:t>45.90</w:t>
            </w:r>
          </w:p>
        </w:tc>
        <w:tc>
          <w:tcPr>
            <w:tcW w:w="1260" w:type="dxa"/>
            <w:noWrap/>
            <w:hideMark/>
          </w:tcPr>
          <w:p w14:paraId="0A4AA90B" w14:textId="77777777" w:rsidR="00C96D53" w:rsidRPr="007132E7" w:rsidRDefault="00C96D53" w:rsidP="004320C0">
            <w:pPr>
              <w:spacing w:line="240" w:lineRule="auto"/>
            </w:pPr>
            <w:r w:rsidRPr="007132E7">
              <w:t>2</w:t>
            </w:r>
          </w:p>
        </w:tc>
        <w:tc>
          <w:tcPr>
            <w:tcW w:w="1305" w:type="dxa"/>
            <w:noWrap/>
            <w:hideMark/>
          </w:tcPr>
          <w:p w14:paraId="6D43B69A" w14:textId="77777777" w:rsidR="00C96D53" w:rsidRPr="007132E7" w:rsidRDefault="00C96D53" w:rsidP="004320C0">
            <w:pPr>
              <w:spacing w:line="240" w:lineRule="auto"/>
            </w:pPr>
            <w:r w:rsidRPr="007132E7">
              <w:t>1</w:t>
            </w:r>
          </w:p>
        </w:tc>
        <w:tc>
          <w:tcPr>
            <w:tcW w:w="1097" w:type="dxa"/>
          </w:tcPr>
          <w:p w14:paraId="59C12735" w14:textId="77777777" w:rsidR="00C96D53" w:rsidRPr="007132E7" w:rsidRDefault="00C96D53" w:rsidP="004320C0">
            <w:pPr>
              <w:spacing w:line="240" w:lineRule="auto"/>
            </w:pPr>
            <w:r w:rsidRPr="007132E7">
              <w:t>1</w:t>
            </w:r>
          </w:p>
        </w:tc>
      </w:tr>
      <w:tr w:rsidR="00C96D53" w:rsidRPr="007132E7" w14:paraId="165EA99F" w14:textId="77777777" w:rsidTr="006A68F1">
        <w:trPr>
          <w:trHeight w:val="300"/>
        </w:trPr>
        <w:tc>
          <w:tcPr>
            <w:tcW w:w="1696" w:type="dxa"/>
            <w:noWrap/>
            <w:hideMark/>
          </w:tcPr>
          <w:p w14:paraId="34BF768B" w14:textId="77777777" w:rsidR="00C96D53" w:rsidRPr="007132E7" w:rsidRDefault="00C96D53" w:rsidP="004320C0">
            <w:pPr>
              <w:spacing w:line="240" w:lineRule="auto"/>
            </w:pPr>
            <w:r w:rsidRPr="007132E7">
              <w:t>Self-Harm</w:t>
            </w:r>
          </w:p>
        </w:tc>
        <w:tc>
          <w:tcPr>
            <w:tcW w:w="1244" w:type="dxa"/>
            <w:noWrap/>
            <w:hideMark/>
          </w:tcPr>
          <w:p w14:paraId="303392A1" w14:textId="77777777" w:rsidR="00C96D53" w:rsidRPr="007132E7" w:rsidRDefault="00C96D53" w:rsidP="004320C0">
            <w:pPr>
              <w:spacing w:line="240" w:lineRule="auto"/>
            </w:pPr>
            <w:r w:rsidRPr="007132E7">
              <w:t>3.38</w:t>
            </w:r>
          </w:p>
        </w:tc>
        <w:tc>
          <w:tcPr>
            <w:tcW w:w="1305" w:type="dxa"/>
            <w:noWrap/>
            <w:hideMark/>
          </w:tcPr>
          <w:p w14:paraId="458D060D" w14:textId="77777777" w:rsidR="00C96D53" w:rsidRPr="007132E7" w:rsidRDefault="00C96D53" w:rsidP="004320C0">
            <w:pPr>
              <w:spacing w:line="240" w:lineRule="auto"/>
            </w:pPr>
            <w:r w:rsidRPr="007132E7">
              <w:t>10.07</w:t>
            </w:r>
          </w:p>
        </w:tc>
        <w:tc>
          <w:tcPr>
            <w:tcW w:w="1122" w:type="dxa"/>
          </w:tcPr>
          <w:p w14:paraId="4E2DF936" w14:textId="77777777" w:rsidR="00C96D53" w:rsidRPr="007132E7" w:rsidRDefault="00C96D53" w:rsidP="004320C0">
            <w:pPr>
              <w:spacing w:line="240" w:lineRule="auto"/>
            </w:pPr>
            <w:r w:rsidRPr="007132E7">
              <w:t>8.58</w:t>
            </w:r>
          </w:p>
        </w:tc>
        <w:tc>
          <w:tcPr>
            <w:tcW w:w="1260" w:type="dxa"/>
            <w:noWrap/>
            <w:hideMark/>
          </w:tcPr>
          <w:p w14:paraId="54BE7A50" w14:textId="77777777" w:rsidR="00C96D53" w:rsidRPr="007132E7" w:rsidRDefault="00C96D53" w:rsidP="004320C0">
            <w:pPr>
              <w:spacing w:line="240" w:lineRule="auto"/>
            </w:pPr>
            <w:r w:rsidRPr="007132E7">
              <w:t>3</w:t>
            </w:r>
          </w:p>
        </w:tc>
        <w:tc>
          <w:tcPr>
            <w:tcW w:w="1305" w:type="dxa"/>
            <w:noWrap/>
            <w:hideMark/>
          </w:tcPr>
          <w:p w14:paraId="2A6725E8" w14:textId="77777777" w:rsidR="00C96D53" w:rsidRPr="007132E7" w:rsidRDefault="00C96D53" w:rsidP="004320C0">
            <w:pPr>
              <w:spacing w:line="240" w:lineRule="auto"/>
            </w:pPr>
            <w:r w:rsidRPr="007132E7">
              <w:t>4</w:t>
            </w:r>
          </w:p>
        </w:tc>
        <w:tc>
          <w:tcPr>
            <w:tcW w:w="1097" w:type="dxa"/>
          </w:tcPr>
          <w:p w14:paraId="5225FCC3" w14:textId="77777777" w:rsidR="00C96D53" w:rsidRPr="007132E7" w:rsidRDefault="00C96D53" w:rsidP="004320C0">
            <w:pPr>
              <w:spacing w:line="240" w:lineRule="auto"/>
            </w:pPr>
            <w:r w:rsidRPr="007132E7">
              <w:t>4</w:t>
            </w:r>
          </w:p>
        </w:tc>
      </w:tr>
      <w:tr w:rsidR="00C96D53" w:rsidRPr="007132E7" w14:paraId="042A1D14" w14:textId="77777777" w:rsidTr="006A68F1">
        <w:trPr>
          <w:trHeight w:val="300"/>
        </w:trPr>
        <w:tc>
          <w:tcPr>
            <w:tcW w:w="1696" w:type="dxa"/>
            <w:noWrap/>
            <w:hideMark/>
          </w:tcPr>
          <w:p w14:paraId="489DF800" w14:textId="77777777" w:rsidR="00C96D53" w:rsidRPr="007132E7" w:rsidRDefault="00C96D53" w:rsidP="004320C0">
            <w:pPr>
              <w:spacing w:line="240" w:lineRule="auto"/>
            </w:pPr>
            <w:r w:rsidRPr="007132E7">
              <w:t>PTSD</w:t>
            </w:r>
          </w:p>
        </w:tc>
        <w:tc>
          <w:tcPr>
            <w:tcW w:w="1244" w:type="dxa"/>
            <w:noWrap/>
            <w:hideMark/>
          </w:tcPr>
          <w:p w14:paraId="6F3FFD86" w14:textId="77777777" w:rsidR="00C96D53" w:rsidRPr="007132E7" w:rsidRDefault="00C96D53" w:rsidP="004320C0">
            <w:pPr>
              <w:spacing w:line="240" w:lineRule="auto"/>
            </w:pPr>
            <w:r w:rsidRPr="007132E7">
              <w:t>3.33</w:t>
            </w:r>
          </w:p>
        </w:tc>
        <w:tc>
          <w:tcPr>
            <w:tcW w:w="1305" w:type="dxa"/>
            <w:noWrap/>
            <w:hideMark/>
          </w:tcPr>
          <w:p w14:paraId="04EE029B" w14:textId="77777777" w:rsidR="00C96D53" w:rsidRPr="007132E7" w:rsidRDefault="00C96D53" w:rsidP="004320C0">
            <w:pPr>
              <w:spacing w:line="240" w:lineRule="auto"/>
            </w:pPr>
            <w:r w:rsidRPr="007132E7">
              <w:t>16.54</w:t>
            </w:r>
          </w:p>
        </w:tc>
        <w:tc>
          <w:tcPr>
            <w:tcW w:w="1122" w:type="dxa"/>
          </w:tcPr>
          <w:p w14:paraId="39E6B0C7" w14:textId="77777777" w:rsidR="00C96D53" w:rsidRPr="007132E7" w:rsidRDefault="00C96D53" w:rsidP="004320C0">
            <w:pPr>
              <w:spacing w:line="240" w:lineRule="auto"/>
            </w:pPr>
            <w:r w:rsidRPr="007132E7">
              <w:t>9.53</w:t>
            </w:r>
          </w:p>
        </w:tc>
        <w:tc>
          <w:tcPr>
            <w:tcW w:w="1260" w:type="dxa"/>
            <w:noWrap/>
            <w:hideMark/>
          </w:tcPr>
          <w:p w14:paraId="62188C2C" w14:textId="77777777" w:rsidR="00C96D53" w:rsidRPr="007132E7" w:rsidRDefault="00C96D53" w:rsidP="004320C0">
            <w:pPr>
              <w:spacing w:line="240" w:lineRule="auto"/>
            </w:pPr>
            <w:r w:rsidRPr="007132E7">
              <w:t>4</w:t>
            </w:r>
          </w:p>
        </w:tc>
        <w:tc>
          <w:tcPr>
            <w:tcW w:w="1305" w:type="dxa"/>
            <w:noWrap/>
            <w:hideMark/>
          </w:tcPr>
          <w:p w14:paraId="62C65191" w14:textId="77777777" w:rsidR="00C96D53" w:rsidRPr="007132E7" w:rsidRDefault="00C96D53" w:rsidP="004320C0">
            <w:pPr>
              <w:spacing w:line="240" w:lineRule="auto"/>
            </w:pPr>
            <w:r w:rsidRPr="007132E7">
              <w:t>3</w:t>
            </w:r>
          </w:p>
        </w:tc>
        <w:tc>
          <w:tcPr>
            <w:tcW w:w="1097" w:type="dxa"/>
          </w:tcPr>
          <w:p w14:paraId="6D3422DB" w14:textId="77777777" w:rsidR="00C96D53" w:rsidRPr="007132E7" w:rsidRDefault="00C96D53" w:rsidP="004320C0">
            <w:pPr>
              <w:spacing w:line="240" w:lineRule="auto"/>
            </w:pPr>
            <w:r w:rsidRPr="007132E7">
              <w:t>3</w:t>
            </w:r>
          </w:p>
        </w:tc>
      </w:tr>
      <w:tr w:rsidR="00C96D53" w:rsidRPr="007132E7" w14:paraId="19378E9D" w14:textId="77777777" w:rsidTr="006A68F1">
        <w:trPr>
          <w:trHeight w:val="300"/>
        </w:trPr>
        <w:tc>
          <w:tcPr>
            <w:tcW w:w="1696" w:type="dxa"/>
            <w:noWrap/>
            <w:hideMark/>
          </w:tcPr>
          <w:p w14:paraId="5EAA42EF" w14:textId="77777777" w:rsidR="00C96D53" w:rsidRPr="007132E7" w:rsidRDefault="00C96D53" w:rsidP="004320C0">
            <w:pPr>
              <w:spacing w:line="240" w:lineRule="auto"/>
            </w:pPr>
            <w:r w:rsidRPr="007132E7">
              <w:t>Anxiety</w:t>
            </w:r>
          </w:p>
        </w:tc>
        <w:tc>
          <w:tcPr>
            <w:tcW w:w="1244" w:type="dxa"/>
            <w:noWrap/>
            <w:hideMark/>
          </w:tcPr>
          <w:p w14:paraId="44D6AD48" w14:textId="77777777" w:rsidR="00C96D53" w:rsidRPr="007132E7" w:rsidRDefault="00C96D53" w:rsidP="004320C0">
            <w:pPr>
              <w:spacing w:line="240" w:lineRule="auto"/>
            </w:pPr>
            <w:r w:rsidRPr="007132E7">
              <w:t>3.26</w:t>
            </w:r>
          </w:p>
        </w:tc>
        <w:tc>
          <w:tcPr>
            <w:tcW w:w="1305" w:type="dxa"/>
            <w:noWrap/>
            <w:hideMark/>
          </w:tcPr>
          <w:p w14:paraId="7AC2708E" w14:textId="66098E11" w:rsidR="00C96D53" w:rsidRPr="007132E7" w:rsidRDefault="00C96D53" w:rsidP="004320C0">
            <w:pPr>
              <w:spacing w:line="240" w:lineRule="auto"/>
            </w:pPr>
            <w:r w:rsidRPr="007132E7">
              <w:t>8.6</w:t>
            </w:r>
            <w:r w:rsidR="00103942">
              <w:t>0</w:t>
            </w:r>
          </w:p>
        </w:tc>
        <w:tc>
          <w:tcPr>
            <w:tcW w:w="1122" w:type="dxa"/>
          </w:tcPr>
          <w:p w14:paraId="1064E9C8" w14:textId="77777777" w:rsidR="00C96D53" w:rsidRPr="007132E7" w:rsidRDefault="00C96D53" w:rsidP="004320C0">
            <w:pPr>
              <w:spacing w:line="240" w:lineRule="auto"/>
            </w:pPr>
            <w:r w:rsidRPr="007132E7">
              <w:t>7.19</w:t>
            </w:r>
          </w:p>
        </w:tc>
        <w:tc>
          <w:tcPr>
            <w:tcW w:w="1260" w:type="dxa"/>
            <w:noWrap/>
            <w:hideMark/>
          </w:tcPr>
          <w:p w14:paraId="0A694A3E" w14:textId="77777777" w:rsidR="00C96D53" w:rsidRPr="007132E7" w:rsidRDefault="00C96D53" w:rsidP="004320C0">
            <w:pPr>
              <w:spacing w:line="240" w:lineRule="auto"/>
            </w:pPr>
            <w:r w:rsidRPr="007132E7">
              <w:t>5</w:t>
            </w:r>
          </w:p>
        </w:tc>
        <w:tc>
          <w:tcPr>
            <w:tcW w:w="1305" w:type="dxa"/>
            <w:noWrap/>
            <w:hideMark/>
          </w:tcPr>
          <w:p w14:paraId="0451E2ED" w14:textId="77777777" w:rsidR="00C96D53" w:rsidRPr="007132E7" w:rsidRDefault="00C96D53" w:rsidP="004320C0">
            <w:pPr>
              <w:spacing w:line="240" w:lineRule="auto"/>
            </w:pPr>
            <w:r w:rsidRPr="007132E7">
              <w:t>5</w:t>
            </w:r>
          </w:p>
        </w:tc>
        <w:tc>
          <w:tcPr>
            <w:tcW w:w="1097" w:type="dxa"/>
          </w:tcPr>
          <w:p w14:paraId="547B4CA1" w14:textId="77777777" w:rsidR="00C96D53" w:rsidRPr="007132E7" w:rsidRDefault="00C96D53" w:rsidP="004320C0">
            <w:pPr>
              <w:spacing w:line="240" w:lineRule="auto"/>
            </w:pPr>
            <w:r w:rsidRPr="007132E7">
              <w:t>5</w:t>
            </w:r>
          </w:p>
        </w:tc>
      </w:tr>
      <w:tr w:rsidR="00C96D53" w:rsidRPr="007132E7" w14:paraId="52AABA13" w14:textId="77777777" w:rsidTr="006A68F1">
        <w:trPr>
          <w:trHeight w:val="300"/>
        </w:trPr>
        <w:tc>
          <w:tcPr>
            <w:tcW w:w="1696" w:type="dxa"/>
            <w:noWrap/>
            <w:hideMark/>
          </w:tcPr>
          <w:p w14:paraId="0366D383" w14:textId="77777777" w:rsidR="00C96D53" w:rsidRPr="007132E7" w:rsidRDefault="00C96D53" w:rsidP="004320C0">
            <w:pPr>
              <w:spacing w:line="240" w:lineRule="auto"/>
            </w:pPr>
            <w:r w:rsidRPr="007132E7">
              <w:t>Sleep disorder (too little)</w:t>
            </w:r>
          </w:p>
        </w:tc>
        <w:tc>
          <w:tcPr>
            <w:tcW w:w="1244" w:type="dxa"/>
            <w:noWrap/>
            <w:hideMark/>
          </w:tcPr>
          <w:p w14:paraId="1ACCFE17" w14:textId="77777777" w:rsidR="00C96D53" w:rsidRPr="007132E7" w:rsidRDefault="00C96D53" w:rsidP="004320C0">
            <w:pPr>
              <w:spacing w:line="240" w:lineRule="auto"/>
            </w:pPr>
            <w:r w:rsidRPr="007132E7">
              <w:t>2.51</w:t>
            </w:r>
          </w:p>
        </w:tc>
        <w:tc>
          <w:tcPr>
            <w:tcW w:w="1305" w:type="dxa"/>
            <w:noWrap/>
            <w:hideMark/>
          </w:tcPr>
          <w:p w14:paraId="453C865B" w14:textId="77777777" w:rsidR="00C96D53" w:rsidRPr="007132E7" w:rsidRDefault="00C96D53" w:rsidP="004320C0">
            <w:pPr>
              <w:spacing w:line="240" w:lineRule="auto"/>
            </w:pPr>
            <w:r w:rsidRPr="007132E7">
              <w:t>3.88</w:t>
            </w:r>
          </w:p>
        </w:tc>
        <w:tc>
          <w:tcPr>
            <w:tcW w:w="1122" w:type="dxa"/>
          </w:tcPr>
          <w:p w14:paraId="3DFB2E45" w14:textId="77777777" w:rsidR="00C96D53" w:rsidRPr="007132E7" w:rsidRDefault="00C96D53" w:rsidP="004320C0">
            <w:pPr>
              <w:spacing w:line="240" w:lineRule="auto"/>
            </w:pPr>
            <w:r w:rsidRPr="007132E7">
              <w:t>4.61</w:t>
            </w:r>
          </w:p>
        </w:tc>
        <w:tc>
          <w:tcPr>
            <w:tcW w:w="1260" w:type="dxa"/>
            <w:noWrap/>
            <w:hideMark/>
          </w:tcPr>
          <w:p w14:paraId="682AE568" w14:textId="77777777" w:rsidR="00C96D53" w:rsidRPr="007132E7" w:rsidRDefault="00C96D53" w:rsidP="004320C0">
            <w:pPr>
              <w:spacing w:line="240" w:lineRule="auto"/>
            </w:pPr>
            <w:r w:rsidRPr="007132E7">
              <w:t>6</w:t>
            </w:r>
          </w:p>
        </w:tc>
        <w:tc>
          <w:tcPr>
            <w:tcW w:w="1305" w:type="dxa"/>
            <w:noWrap/>
            <w:hideMark/>
          </w:tcPr>
          <w:p w14:paraId="50AFA68A" w14:textId="77777777" w:rsidR="00C96D53" w:rsidRPr="007132E7" w:rsidRDefault="00C96D53" w:rsidP="004320C0">
            <w:pPr>
              <w:spacing w:line="240" w:lineRule="auto"/>
            </w:pPr>
            <w:r w:rsidRPr="007132E7">
              <w:t>7</w:t>
            </w:r>
          </w:p>
        </w:tc>
        <w:tc>
          <w:tcPr>
            <w:tcW w:w="1097" w:type="dxa"/>
          </w:tcPr>
          <w:p w14:paraId="7D94DB37" w14:textId="77777777" w:rsidR="00C96D53" w:rsidRPr="007132E7" w:rsidRDefault="00C96D53" w:rsidP="004320C0">
            <w:pPr>
              <w:spacing w:line="240" w:lineRule="auto"/>
            </w:pPr>
            <w:r w:rsidRPr="007132E7">
              <w:t>8</w:t>
            </w:r>
          </w:p>
        </w:tc>
      </w:tr>
      <w:tr w:rsidR="00C96D53" w:rsidRPr="007132E7" w14:paraId="546C3D48" w14:textId="77777777" w:rsidTr="006A68F1">
        <w:trPr>
          <w:trHeight w:val="300"/>
        </w:trPr>
        <w:tc>
          <w:tcPr>
            <w:tcW w:w="1696" w:type="dxa"/>
            <w:noWrap/>
            <w:hideMark/>
          </w:tcPr>
          <w:p w14:paraId="7AB156B9" w14:textId="77777777" w:rsidR="00C96D53" w:rsidRPr="007132E7" w:rsidRDefault="00C96D53" w:rsidP="004320C0">
            <w:pPr>
              <w:spacing w:line="240" w:lineRule="auto"/>
            </w:pPr>
            <w:r w:rsidRPr="007132E7">
              <w:t>Eating disorder</w:t>
            </w:r>
          </w:p>
        </w:tc>
        <w:tc>
          <w:tcPr>
            <w:tcW w:w="1244" w:type="dxa"/>
            <w:noWrap/>
            <w:hideMark/>
          </w:tcPr>
          <w:p w14:paraId="0058DFA9" w14:textId="179C168B" w:rsidR="00C96D53" w:rsidRPr="007132E7" w:rsidRDefault="00C96D53" w:rsidP="004320C0">
            <w:pPr>
              <w:spacing w:line="240" w:lineRule="auto"/>
            </w:pPr>
            <w:r w:rsidRPr="007132E7">
              <w:t>2.3</w:t>
            </w:r>
            <w:r w:rsidR="00103942">
              <w:t>0</w:t>
            </w:r>
          </w:p>
        </w:tc>
        <w:tc>
          <w:tcPr>
            <w:tcW w:w="1305" w:type="dxa"/>
            <w:noWrap/>
            <w:hideMark/>
          </w:tcPr>
          <w:p w14:paraId="6C8911F6" w14:textId="77777777" w:rsidR="00C96D53" w:rsidRPr="007132E7" w:rsidRDefault="00C96D53" w:rsidP="004320C0">
            <w:pPr>
              <w:spacing w:line="240" w:lineRule="auto"/>
            </w:pPr>
            <w:r w:rsidRPr="007132E7">
              <w:t>7.67</w:t>
            </w:r>
          </w:p>
        </w:tc>
        <w:tc>
          <w:tcPr>
            <w:tcW w:w="1122" w:type="dxa"/>
          </w:tcPr>
          <w:p w14:paraId="6182F3B7" w14:textId="77777777" w:rsidR="00C96D53" w:rsidRPr="007132E7" w:rsidRDefault="00C96D53" w:rsidP="004320C0">
            <w:pPr>
              <w:spacing w:line="240" w:lineRule="auto"/>
            </w:pPr>
            <w:r w:rsidRPr="007132E7">
              <w:t>4.29</w:t>
            </w:r>
          </w:p>
        </w:tc>
        <w:tc>
          <w:tcPr>
            <w:tcW w:w="1260" w:type="dxa"/>
            <w:noWrap/>
            <w:hideMark/>
          </w:tcPr>
          <w:p w14:paraId="77CCAA8A" w14:textId="77777777" w:rsidR="00C96D53" w:rsidRPr="007132E7" w:rsidRDefault="00C96D53" w:rsidP="004320C0">
            <w:pPr>
              <w:spacing w:line="240" w:lineRule="auto"/>
            </w:pPr>
            <w:r w:rsidRPr="007132E7">
              <w:t>7</w:t>
            </w:r>
          </w:p>
        </w:tc>
        <w:tc>
          <w:tcPr>
            <w:tcW w:w="1305" w:type="dxa"/>
            <w:noWrap/>
            <w:hideMark/>
          </w:tcPr>
          <w:p w14:paraId="01B76207" w14:textId="77777777" w:rsidR="00C96D53" w:rsidRPr="007132E7" w:rsidRDefault="00C96D53" w:rsidP="004320C0">
            <w:pPr>
              <w:spacing w:line="240" w:lineRule="auto"/>
            </w:pPr>
            <w:r w:rsidRPr="007132E7">
              <w:t>6</w:t>
            </w:r>
          </w:p>
        </w:tc>
        <w:tc>
          <w:tcPr>
            <w:tcW w:w="1097" w:type="dxa"/>
          </w:tcPr>
          <w:p w14:paraId="73385D9D" w14:textId="77777777" w:rsidR="00C96D53" w:rsidRPr="007132E7" w:rsidRDefault="00C96D53" w:rsidP="004320C0">
            <w:pPr>
              <w:spacing w:line="240" w:lineRule="auto"/>
            </w:pPr>
            <w:r w:rsidRPr="007132E7">
              <w:t>9</w:t>
            </w:r>
          </w:p>
        </w:tc>
      </w:tr>
      <w:tr w:rsidR="00C96D53" w:rsidRPr="007132E7" w14:paraId="6D1EA440" w14:textId="77777777" w:rsidTr="006A68F1">
        <w:trPr>
          <w:trHeight w:val="300"/>
        </w:trPr>
        <w:tc>
          <w:tcPr>
            <w:tcW w:w="1696" w:type="dxa"/>
            <w:noWrap/>
            <w:hideMark/>
          </w:tcPr>
          <w:p w14:paraId="5777DDA1" w14:textId="77777777" w:rsidR="00C96D53" w:rsidRPr="007132E7" w:rsidRDefault="00C96D53" w:rsidP="004320C0">
            <w:pPr>
              <w:spacing w:line="240" w:lineRule="auto"/>
            </w:pPr>
            <w:r w:rsidRPr="007132E7">
              <w:t>Bereavement</w:t>
            </w:r>
          </w:p>
        </w:tc>
        <w:tc>
          <w:tcPr>
            <w:tcW w:w="1244" w:type="dxa"/>
            <w:noWrap/>
            <w:hideMark/>
          </w:tcPr>
          <w:p w14:paraId="2C7E479A" w14:textId="77777777" w:rsidR="00C96D53" w:rsidRPr="007132E7" w:rsidRDefault="00C96D53" w:rsidP="004320C0">
            <w:pPr>
              <w:spacing w:line="240" w:lineRule="auto"/>
            </w:pPr>
            <w:r w:rsidRPr="007132E7">
              <w:t>2.24</w:t>
            </w:r>
          </w:p>
        </w:tc>
        <w:tc>
          <w:tcPr>
            <w:tcW w:w="1305" w:type="dxa"/>
            <w:noWrap/>
            <w:hideMark/>
          </w:tcPr>
          <w:p w14:paraId="038D97D2" w14:textId="77777777" w:rsidR="00C96D53" w:rsidRPr="007132E7" w:rsidRDefault="00C96D53" w:rsidP="004320C0">
            <w:pPr>
              <w:spacing w:line="240" w:lineRule="auto"/>
            </w:pPr>
            <w:r w:rsidRPr="007132E7">
              <w:t>3.06</w:t>
            </w:r>
          </w:p>
        </w:tc>
        <w:tc>
          <w:tcPr>
            <w:tcW w:w="1122" w:type="dxa"/>
          </w:tcPr>
          <w:p w14:paraId="6A060198" w14:textId="77777777" w:rsidR="00C96D53" w:rsidRPr="007132E7" w:rsidRDefault="00C96D53" w:rsidP="004320C0">
            <w:pPr>
              <w:spacing w:line="240" w:lineRule="auto"/>
            </w:pPr>
            <w:r w:rsidRPr="007132E7">
              <w:t>2.82</w:t>
            </w:r>
          </w:p>
        </w:tc>
        <w:tc>
          <w:tcPr>
            <w:tcW w:w="1260" w:type="dxa"/>
            <w:noWrap/>
            <w:hideMark/>
          </w:tcPr>
          <w:p w14:paraId="037807CD" w14:textId="77777777" w:rsidR="00C96D53" w:rsidRPr="007132E7" w:rsidRDefault="00C96D53" w:rsidP="004320C0">
            <w:pPr>
              <w:spacing w:line="240" w:lineRule="auto"/>
            </w:pPr>
            <w:r w:rsidRPr="007132E7">
              <w:t>8</w:t>
            </w:r>
          </w:p>
        </w:tc>
        <w:tc>
          <w:tcPr>
            <w:tcW w:w="1305" w:type="dxa"/>
            <w:noWrap/>
            <w:hideMark/>
          </w:tcPr>
          <w:p w14:paraId="2ED0064F" w14:textId="77777777" w:rsidR="00C96D53" w:rsidRPr="007132E7" w:rsidRDefault="00C96D53" w:rsidP="004320C0">
            <w:pPr>
              <w:spacing w:line="240" w:lineRule="auto"/>
            </w:pPr>
            <w:r w:rsidRPr="007132E7">
              <w:t>9</w:t>
            </w:r>
          </w:p>
        </w:tc>
        <w:tc>
          <w:tcPr>
            <w:tcW w:w="1097" w:type="dxa"/>
          </w:tcPr>
          <w:p w14:paraId="7D8EDF6F" w14:textId="77777777" w:rsidR="00C96D53" w:rsidRPr="007132E7" w:rsidRDefault="00C96D53" w:rsidP="004320C0">
            <w:pPr>
              <w:spacing w:line="240" w:lineRule="auto"/>
            </w:pPr>
            <w:r w:rsidRPr="007132E7">
              <w:t>12</w:t>
            </w:r>
          </w:p>
        </w:tc>
      </w:tr>
      <w:tr w:rsidR="00C96D53" w:rsidRPr="007132E7" w14:paraId="4F372C5F" w14:textId="77777777" w:rsidTr="00393AEC">
        <w:trPr>
          <w:trHeight w:val="300"/>
        </w:trPr>
        <w:tc>
          <w:tcPr>
            <w:tcW w:w="1696" w:type="dxa"/>
            <w:noWrap/>
            <w:hideMark/>
          </w:tcPr>
          <w:p w14:paraId="4B902010" w14:textId="77777777" w:rsidR="00C96D53" w:rsidRPr="007132E7" w:rsidRDefault="00C96D53" w:rsidP="004320C0">
            <w:pPr>
              <w:spacing w:line="240" w:lineRule="auto"/>
            </w:pPr>
            <w:r w:rsidRPr="007132E7">
              <w:t>School problems</w:t>
            </w:r>
          </w:p>
        </w:tc>
        <w:tc>
          <w:tcPr>
            <w:tcW w:w="1244" w:type="dxa"/>
            <w:noWrap/>
            <w:hideMark/>
          </w:tcPr>
          <w:p w14:paraId="732AE68B" w14:textId="77777777" w:rsidR="00C96D53" w:rsidRPr="007132E7" w:rsidRDefault="00C96D53" w:rsidP="004320C0">
            <w:pPr>
              <w:spacing w:line="240" w:lineRule="auto"/>
            </w:pPr>
            <w:r w:rsidRPr="007132E7">
              <w:t>2.04</w:t>
            </w:r>
          </w:p>
        </w:tc>
        <w:tc>
          <w:tcPr>
            <w:tcW w:w="1305" w:type="dxa"/>
            <w:noWrap/>
            <w:hideMark/>
          </w:tcPr>
          <w:p w14:paraId="4FDB4F71" w14:textId="77777777" w:rsidR="00C96D53" w:rsidRPr="007132E7" w:rsidRDefault="00C96D53" w:rsidP="004320C0">
            <w:pPr>
              <w:spacing w:line="240" w:lineRule="auto"/>
            </w:pPr>
            <w:r w:rsidRPr="007132E7">
              <w:t>3.34</w:t>
            </w:r>
          </w:p>
        </w:tc>
        <w:tc>
          <w:tcPr>
            <w:tcW w:w="1122" w:type="dxa"/>
          </w:tcPr>
          <w:p w14:paraId="2B838016" w14:textId="77777777" w:rsidR="00C96D53" w:rsidRPr="007132E7" w:rsidRDefault="00C96D53" w:rsidP="004320C0">
            <w:pPr>
              <w:spacing w:line="240" w:lineRule="auto"/>
            </w:pPr>
            <w:r w:rsidRPr="007132E7">
              <w:t>2.07</w:t>
            </w:r>
          </w:p>
        </w:tc>
        <w:tc>
          <w:tcPr>
            <w:tcW w:w="1260" w:type="dxa"/>
            <w:noWrap/>
            <w:hideMark/>
          </w:tcPr>
          <w:p w14:paraId="6ED5A441" w14:textId="77777777" w:rsidR="00C96D53" w:rsidRPr="007132E7" w:rsidRDefault="00C96D53" w:rsidP="004320C0">
            <w:pPr>
              <w:spacing w:line="240" w:lineRule="auto"/>
            </w:pPr>
            <w:r w:rsidRPr="007132E7">
              <w:t>9</w:t>
            </w:r>
          </w:p>
        </w:tc>
        <w:tc>
          <w:tcPr>
            <w:tcW w:w="1305" w:type="dxa"/>
            <w:noWrap/>
            <w:hideMark/>
          </w:tcPr>
          <w:p w14:paraId="150B50C5" w14:textId="77777777" w:rsidR="00C96D53" w:rsidRPr="007132E7" w:rsidRDefault="00C96D53" w:rsidP="004320C0">
            <w:pPr>
              <w:spacing w:line="240" w:lineRule="auto"/>
            </w:pPr>
            <w:r w:rsidRPr="007132E7">
              <w:t>8</w:t>
            </w:r>
          </w:p>
        </w:tc>
        <w:tc>
          <w:tcPr>
            <w:tcW w:w="1097" w:type="dxa"/>
          </w:tcPr>
          <w:p w14:paraId="6E26527B" w14:textId="77777777" w:rsidR="00C96D53" w:rsidRPr="007132E7" w:rsidRDefault="00C96D53" w:rsidP="004320C0">
            <w:pPr>
              <w:spacing w:line="240" w:lineRule="auto"/>
            </w:pPr>
            <w:r w:rsidRPr="007132E7">
              <w:t>16</w:t>
            </w:r>
          </w:p>
        </w:tc>
      </w:tr>
      <w:tr w:rsidR="00C96D53" w:rsidRPr="007132E7" w14:paraId="37162B06" w14:textId="77777777" w:rsidTr="00393AEC">
        <w:trPr>
          <w:trHeight w:val="300"/>
        </w:trPr>
        <w:tc>
          <w:tcPr>
            <w:tcW w:w="1696" w:type="dxa"/>
            <w:noWrap/>
            <w:hideMark/>
          </w:tcPr>
          <w:p w14:paraId="12AE23BD" w14:textId="77777777" w:rsidR="00C96D53" w:rsidRPr="007132E7" w:rsidRDefault="00C96D53" w:rsidP="004320C0">
            <w:pPr>
              <w:spacing w:line="240" w:lineRule="auto"/>
            </w:pPr>
            <w:r w:rsidRPr="007132E7">
              <w:t>Tiredness</w:t>
            </w:r>
          </w:p>
        </w:tc>
        <w:tc>
          <w:tcPr>
            <w:tcW w:w="1244" w:type="dxa"/>
            <w:noWrap/>
            <w:hideMark/>
          </w:tcPr>
          <w:p w14:paraId="3D9DBA5D" w14:textId="77777777" w:rsidR="00C96D53" w:rsidRPr="007132E7" w:rsidRDefault="00C96D53" w:rsidP="004320C0">
            <w:pPr>
              <w:spacing w:line="240" w:lineRule="auto"/>
            </w:pPr>
            <w:r w:rsidRPr="007132E7">
              <w:t>2.02</w:t>
            </w:r>
          </w:p>
        </w:tc>
        <w:tc>
          <w:tcPr>
            <w:tcW w:w="1305" w:type="dxa"/>
            <w:noWrap/>
            <w:hideMark/>
          </w:tcPr>
          <w:p w14:paraId="67035E2B" w14:textId="77777777" w:rsidR="00C96D53" w:rsidRPr="007132E7" w:rsidRDefault="00C96D53" w:rsidP="004320C0">
            <w:pPr>
              <w:spacing w:line="240" w:lineRule="auto"/>
            </w:pPr>
            <w:r w:rsidRPr="007132E7">
              <w:t>1.54</w:t>
            </w:r>
          </w:p>
        </w:tc>
        <w:tc>
          <w:tcPr>
            <w:tcW w:w="1122" w:type="dxa"/>
          </w:tcPr>
          <w:p w14:paraId="07409667" w14:textId="77777777" w:rsidR="00C96D53" w:rsidRPr="007132E7" w:rsidRDefault="00C96D53" w:rsidP="004320C0">
            <w:pPr>
              <w:spacing w:line="240" w:lineRule="auto"/>
            </w:pPr>
            <w:r w:rsidRPr="007132E7">
              <w:t>1.32</w:t>
            </w:r>
          </w:p>
        </w:tc>
        <w:tc>
          <w:tcPr>
            <w:tcW w:w="1260" w:type="dxa"/>
            <w:noWrap/>
            <w:hideMark/>
          </w:tcPr>
          <w:p w14:paraId="53D6ADC8" w14:textId="77777777" w:rsidR="00C96D53" w:rsidRPr="007132E7" w:rsidRDefault="00C96D53" w:rsidP="004320C0">
            <w:pPr>
              <w:spacing w:line="240" w:lineRule="auto"/>
            </w:pPr>
            <w:r w:rsidRPr="007132E7">
              <w:t>10</w:t>
            </w:r>
          </w:p>
        </w:tc>
        <w:tc>
          <w:tcPr>
            <w:tcW w:w="1305" w:type="dxa"/>
            <w:noWrap/>
            <w:hideMark/>
          </w:tcPr>
          <w:p w14:paraId="6DD5AC9E" w14:textId="77777777" w:rsidR="00C96D53" w:rsidRPr="007132E7" w:rsidRDefault="00C96D53" w:rsidP="004320C0">
            <w:pPr>
              <w:spacing w:line="240" w:lineRule="auto"/>
            </w:pPr>
            <w:r w:rsidRPr="007132E7">
              <w:t>12</w:t>
            </w:r>
          </w:p>
        </w:tc>
        <w:tc>
          <w:tcPr>
            <w:tcW w:w="1097" w:type="dxa"/>
          </w:tcPr>
          <w:p w14:paraId="394C16DF" w14:textId="77777777" w:rsidR="00C96D53" w:rsidRPr="007132E7" w:rsidRDefault="00C96D53" w:rsidP="004320C0">
            <w:pPr>
              <w:spacing w:line="240" w:lineRule="auto"/>
            </w:pPr>
            <w:r w:rsidRPr="007132E7">
              <w:t>24</w:t>
            </w:r>
          </w:p>
        </w:tc>
      </w:tr>
      <w:tr w:rsidR="00C96D53" w:rsidRPr="007132E7" w14:paraId="3BD74BD1" w14:textId="77777777" w:rsidTr="00393AEC">
        <w:trPr>
          <w:trHeight w:val="300"/>
        </w:trPr>
        <w:tc>
          <w:tcPr>
            <w:tcW w:w="1696" w:type="dxa"/>
            <w:tcBorders>
              <w:bottom w:val="single" w:sz="4" w:space="0" w:color="auto"/>
            </w:tcBorders>
            <w:noWrap/>
            <w:hideMark/>
          </w:tcPr>
          <w:p w14:paraId="687D5FFE" w14:textId="77777777" w:rsidR="00C96D53" w:rsidRPr="00393AEC" w:rsidRDefault="00C96D53" w:rsidP="004320C0">
            <w:pPr>
              <w:spacing w:line="240" w:lineRule="auto"/>
              <w:rPr>
                <w:b/>
                <w:bCs/>
              </w:rPr>
            </w:pPr>
            <w:r w:rsidRPr="00393AEC">
              <w:rPr>
                <w:b/>
                <w:bCs/>
              </w:rPr>
              <w:t>Count</w:t>
            </w:r>
          </w:p>
        </w:tc>
        <w:tc>
          <w:tcPr>
            <w:tcW w:w="1244" w:type="dxa"/>
            <w:tcBorders>
              <w:bottom w:val="single" w:sz="4" w:space="0" w:color="auto"/>
            </w:tcBorders>
            <w:noWrap/>
            <w:hideMark/>
          </w:tcPr>
          <w:p w14:paraId="2CD872CF" w14:textId="77777777" w:rsidR="00C96D53" w:rsidRPr="00393AEC" w:rsidRDefault="00C96D53" w:rsidP="004320C0">
            <w:pPr>
              <w:spacing w:line="240" w:lineRule="auto"/>
              <w:rPr>
                <w:b/>
                <w:bCs/>
              </w:rPr>
            </w:pPr>
            <w:r w:rsidRPr="00393AEC">
              <w:rPr>
                <w:b/>
                <w:bCs/>
              </w:rPr>
              <w:t>1.11</w:t>
            </w:r>
          </w:p>
        </w:tc>
        <w:tc>
          <w:tcPr>
            <w:tcW w:w="1305" w:type="dxa"/>
            <w:tcBorders>
              <w:bottom w:val="single" w:sz="4" w:space="0" w:color="auto"/>
            </w:tcBorders>
            <w:noWrap/>
            <w:hideMark/>
          </w:tcPr>
          <w:p w14:paraId="06B93962" w14:textId="77777777" w:rsidR="00C96D53" w:rsidRPr="00393AEC" w:rsidRDefault="00C96D53" w:rsidP="004320C0">
            <w:pPr>
              <w:spacing w:line="240" w:lineRule="auto"/>
              <w:rPr>
                <w:b/>
                <w:bCs/>
              </w:rPr>
            </w:pPr>
            <w:r w:rsidRPr="00393AEC">
              <w:rPr>
                <w:b/>
                <w:bCs/>
              </w:rPr>
              <w:t>1.26</w:t>
            </w:r>
          </w:p>
        </w:tc>
        <w:tc>
          <w:tcPr>
            <w:tcW w:w="1122" w:type="dxa"/>
            <w:tcBorders>
              <w:bottom w:val="single" w:sz="4" w:space="0" w:color="auto"/>
            </w:tcBorders>
          </w:tcPr>
          <w:p w14:paraId="0ADB1156" w14:textId="77777777" w:rsidR="00C96D53" w:rsidRPr="00393AEC" w:rsidRDefault="00C96D53" w:rsidP="004320C0">
            <w:pPr>
              <w:spacing w:line="240" w:lineRule="auto"/>
              <w:rPr>
                <w:b/>
                <w:bCs/>
              </w:rPr>
            </w:pPr>
            <w:r w:rsidRPr="00393AEC">
              <w:rPr>
                <w:b/>
                <w:bCs/>
              </w:rPr>
              <w:t>1.26</w:t>
            </w:r>
          </w:p>
        </w:tc>
        <w:tc>
          <w:tcPr>
            <w:tcW w:w="1260" w:type="dxa"/>
            <w:tcBorders>
              <w:bottom w:val="single" w:sz="4" w:space="0" w:color="auto"/>
            </w:tcBorders>
            <w:noWrap/>
            <w:hideMark/>
          </w:tcPr>
          <w:p w14:paraId="1134D494" w14:textId="77777777" w:rsidR="00C96D53" w:rsidRPr="00393AEC" w:rsidRDefault="00C96D53" w:rsidP="004320C0">
            <w:pPr>
              <w:spacing w:line="240" w:lineRule="auto"/>
              <w:rPr>
                <w:b/>
                <w:bCs/>
              </w:rPr>
            </w:pPr>
            <w:r w:rsidRPr="00393AEC">
              <w:rPr>
                <w:b/>
                <w:bCs/>
              </w:rPr>
              <w:t>20</w:t>
            </w:r>
          </w:p>
        </w:tc>
        <w:tc>
          <w:tcPr>
            <w:tcW w:w="1305" w:type="dxa"/>
            <w:tcBorders>
              <w:bottom w:val="single" w:sz="4" w:space="0" w:color="auto"/>
            </w:tcBorders>
            <w:noWrap/>
            <w:hideMark/>
          </w:tcPr>
          <w:p w14:paraId="32CBFE6B" w14:textId="77777777" w:rsidR="00C96D53" w:rsidRPr="00393AEC" w:rsidRDefault="00C96D53" w:rsidP="004320C0">
            <w:pPr>
              <w:spacing w:line="240" w:lineRule="auto"/>
              <w:rPr>
                <w:b/>
                <w:bCs/>
              </w:rPr>
            </w:pPr>
            <w:r w:rsidRPr="00393AEC">
              <w:rPr>
                <w:b/>
                <w:bCs/>
              </w:rPr>
              <w:t>15</w:t>
            </w:r>
          </w:p>
        </w:tc>
        <w:tc>
          <w:tcPr>
            <w:tcW w:w="1097" w:type="dxa"/>
            <w:tcBorders>
              <w:bottom w:val="single" w:sz="4" w:space="0" w:color="auto"/>
            </w:tcBorders>
          </w:tcPr>
          <w:p w14:paraId="56EC21BE" w14:textId="77777777" w:rsidR="00C96D53" w:rsidRPr="00393AEC" w:rsidRDefault="00C96D53" w:rsidP="004320C0">
            <w:pPr>
              <w:spacing w:line="240" w:lineRule="auto"/>
              <w:rPr>
                <w:b/>
                <w:bCs/>
              </w:rPr>
            </w:pPr>
            <w:r w:rsidRPr="00393AEC">
              <w:rPr>
                <w:b/>
                <w:bCs/>
              </w:rPr>
              <w:t>26</w:t>
            </w:r>
          </w:p>
        </w:tc>
      </w:tr>
    </w:tbl>
    <w:p w14:paraId="4D8469F1" w14:textId="77777777" w:rsidR="00C96D53" w:rsidRPr="007132E7" w:rsidRDefault="00C96D53" w:rsidP="004320C0">
      <w:pPr>
        <w:spacing w:after="0" w:line="240" w:lineRule="auto"/>
      </w:pPr>
    </w:p>
    <w:p w14:paraId="6BE1144C" w14:textId="01735682" w:rsidR="00C96D53" w:rsidRPr="00F62555" w:rsidRDefault="00C96D53" w:rsidP="004320C0">
      <w:pPr>
        <w:spacing w:after="0" w:line="240" w:lineRule="auto"/>
      </w:pPr>
      <w:r w:rsidRPr="00F62555">
        <w:t>Note 1: the count</w:t>
      </w:r>
      <w:r w:rsidR="00EA01EC">
        <w:t xml:space="preserve"> </w:t>
      </w:r>
      <w:r w:rsidR="00EA01EC" w:rsidRPr="00393AEC">
        <w:rPr>
          <w:color w:val="0070C0"/>
        </w:rPr>
        <w:t>(GP visit frequency</w:t>
      </w:r>
      <w:r w:rsidR="00EA01EC">
        <w:t>)</w:t>
      </w:r>
      <w:r w:rsidRPr="00F62555">
        <w:t xml:space="preserve"> predictor is highlighted </w:t>
      </w:r>
      <w:r w:rsidR="0087146D">
        <w:t>in</w:t>
      </w:r>
      <w:r w:rsidRPr="00F62555">
        <w:t xml:space="preserve"> bold. </w:t>
      </w:r>
    </w:p>
    <w:p w14:paraId="34D487F8" w14:textId="77777777" w:rsidR="00C96D53" w:rsidRDefault="00C96D53" w:rsidP="004320C0">
      <w:pPr>
        <w:spacing w:after="0" w:line="240" w:lineRule="auto"/>
      </w:pPr>
      <w:r w:rsidRPr="00F62555">
        <w:t>Note 2: LASSO did not eliminate as many predictors as did the Stepwise models.</w:t>
      </w:r>
    </w:p>
    <w:p w14:paraId="3B28A670" w14:textId="77777777" w:rsidR="004320C0" w:rsidRDefault="004320C0" w:rsidP="004320C0">
      <w:pPr>
        <w:spacing w:after="0" w:line="240" w:lineRule="auto"/>
      </w:pPr>
    </w:p>
    <w:p w14:paraId="75D582CA" w14:textId="7C0B5198" w:rsidR="00B33B4A" w:rsidRPr="004320C0" w:rsidRDefault="00B33B4A" w:rsidP="00B33B4A">
      <w:pPr>
        <w:rPr>
          <w:b/>
          <w:bCs/>
        </w:rPr>
      </w:pPr>
      <w:r w:rsidRPr="004320C0">
        <w:rPr>
          <w:b/>
          <w:bCs/>
        </w:rPr>
        <w:t>Table</w:t>
      </w:r>
      <w:r w:rsidR="001B403D">
        <w:rPr>
          <w:b/>
          <w:bCs/>
        </w:rPr>
        <w:t xml:space="preserve"> 2</w:t>
      </w:r>
    </w:p>
    <w:p w14:paraId="1B0786DC" w14:textId="77777777" w:rsidR="00B33B4A" w:rsidRPr="001158C8" w:rsidRDefault="00B33B4A" w:rsidP="00B33B4A">
      <w:pPr>
        <w:spacing w:after="0" w:line="240" w:lineRule="auto"/>
        <w:rPr>
          <w:i/>
          <w:iCs/>
        </w:rPr>
      </w:pPr>
      <w:r w:rsidRPr="001158C8">
        <w:rPr>
          <w:i/>
          <w:iCs/>
        </w:rPr>
        <w:t>Predictor variables that were removed/retained following the backward stepwise selection procedure.</w:t>
      </w:r>
    </w:p>
    <w:p w14:paraId="0ACD59B3" w14:textId="77777777" w:rsidR="00B33B4A" w:rsidRPr="004320C0" w:rsidRDefault="00B33B4A" w:rsidP="00B33B4A">
      <w:pPr>
        <w:spacing w:after="0" w:line="240" w:lineRule="auto"/>
        <w:rPr>
          <w:i/>
          <w:iCs/>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564"/>
        <w:gridCol w:w="932"/>
        <w:gridCol w:w="937"/>
        <w:gridCol w:w="931"/>
        <w:gridCol w:w="935"/>
        <w:gridCol w:w="931"/>
        <w:gridCol w:w="935"/>
        <w:gridCol w:w="931"/>
        <w:gridCol w:w="930"/>
      </w:tblGrid>
      <w:tr w:rsidR="00B33B4A" w:rsidRPr="007004AF" w14:paraId="774B5FFF" w14:textId="77777777" w:rsidTr="008147D7">
        <w:trPr>
          <w:trHeight w:val="170"/>
        </w:trPr>
        <w:tc>
          <w:tcPr>
            <w:tcW w:w="866" w:type="pct"/>
          </w:tcPr>
          <w:p w14:paraId="02F6EF37" w14:textId="77777777" w:rsidR="00B33B4A" w:rsidRPr="001158C8" w:rsidRDefault="00B33B4A" w:rsidP="008147D7">
            <w:pPr>
              <w:spacing w:line="240" w:lineRule="auto"/>
              <w:ind w:firstLine="0"/>
              <w:rPr>
                <w:rFonts w:asciiTheme="minorHAnsi" w:hAnsiTheme="minorHAnsi" w:cstheme="minorHAnsi"/>
                <w:sz w:val="22"/>
                <w:szCs w:val="22"/>
              </w:rPr>
            </w:pPr>
          </w:p>
        </w:tc>
        <w:tc>
          <w:tcPr>
            <w:tcW w:w="1035" w:type="pct"/>
            <w:gridSpan w:val="2"/>
          </w:tcPr>
          <w:p w14:paraId="5643B38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Female 15-18</w:t>
            </w:r>
          </w:p>
        </w:tc>
        <w:tc>
          <w:tcPr>
            <w:tcW w:w="1034" w:type="pct"/>
            <w:gridSpan w:val="2"/>
          </w:tcPr>
          <w:p w14:paraId="7E4AEB6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Female 19-24</w:t>
            </w:r>
          </w:p>
        </w:tc>
        <w:tc>
          <w:tcPr>
            <w:tcW w:w="1034" w:type="pct"/>
            <w:gridSpan w:val="2"/>
          </w:tcPr>
          <w:p w14:paraId="1B35C97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Male 15-18</w:t>
            </w:r>
          </w:p>
        </w:tc>
        <w:tc>
          <w:tcPr>
            <w:tcW w:w="1031" w:type="pct"/>
            <w:gridSpan w:val="2"/>
          </w:tcPr>
          <w:p w14:paraId="797E248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Male 19-24</w:t>
            </w:r>
          </w:p>
        </w:tc>
      </w:tr>
      <w:tr w:rsidR="00B33B4A" w:rsidRPr="007004AF" w14:paraId="4136D2B0" w14:textId="77777777" w:rsidTr="008147D7">
        <w:tc>
          <w:tcPr>
            <w:tcW w:w="866" w:type="pct"/>
          </w:tcPr>
          <w:p w14:paraId="21AEB2A6"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Predictor</w:t>
            </w:r>
          </w:p>
        </w:tc>
        <w:tc>
          <w:tcPr>
            <w:tcW w:w="516" w:type="pct"/>
          </w:tcPr>
          <w:p w14:paraId="46084B4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NRCBM</w:t>
            </w:r>
          </w:p>
        </w:tc>
        <w:tc>
          <w:tcPr>
            <w:tcW w:w="519" w:type="pct"/>
          </w:tcPr>
          <w:p w14:paraId="473C5C0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Rep.</w:t>
            </w:r>
          </w:p>
        </w:tc>
        <w:tc>
          <w:tcPr>
            <w:tcW w:w="516" w:type="pct"/>
          </w:tcPr>
          <w:p w14:paraId="71A42B3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NRCBM</w:t>
            </w:r>
          </w:p>
        </w:tc>
        <w:tc>
          <w:tcPr>
            <w:tcW w:w="518" w:type="pct"/>
          </w:tcPr>
          <w:p w14:paraId="421B150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Rep.</w:t>
            </w:r>
          </w:p>
        </w:tc>
        <w:tc>
          <w:tcPr>
            <w:tcW w:w="516" w:type="pct"/>
          </w:tcPr>
          <w:p w14:paraId="2401A56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NRCBM</w:t>
            </w:r>
          </w:p>
        </w:tc>
        <w:tc>
          <w:tcPr>
            <w:tcW w:w="518" w:type="pct"/>
          </w:tcPr>
          <w:p w14:paraId="6E33125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Rep.</w:t>
            </w:r>
          </w:p>
        </w:tc>
        <w:tc>
          <w:tcPr>
            <w:tcW w:w="516" w:type="pct"/>
          </w:tcPr>
          <w:p w14:paraId="3852AC9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NRCBM</w:t>
            </w:r>
          </w:p>
        </w:tc>
        <w:tc>
          <w:tcPr>
            <w:tcW w:w="515" w:type="pct"/>
            <w:vAlign w:val="center"/>
          </w:tcPr>
          <w:p w14:paraId="56B38D0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Rep.</w:t>
            </w:r>
          </w:p>
        </w:tc>
      </w:tr>
      <w:tr w:rsidR="00B33B4A" w:rsidRPr="007004AF" w14:paraId="1F33D357" w14:textId="77777777" w:rsidTr="008147D7">
        <w:tc>
          <w:tcPr>
            <w:tcW w:w="866" w:type="pct"/>
          </w:tcPr>
          <w:p w14:paraId="6F3D6ECB" w14:textId="77777777" w:rsidR="00B33B4A" w:rsidRPr="001158C8" w:rsidRDefault="00B33B4A" w:rsidP="008147D7">
            <w:pPr>
              <w:spacing w:line="240" w:lineRule="auto"/>
              <w:ind w:firstLine="0"/>
              <w:rPr>
                <w:rFonts w:asciiTheme="minorHAnsi" w:hAnsiTheme="minorHAnsi" w:cstheme="minorHAnsi"/>
                <w:sz w:val="22"/>
                <w:szCs w:val="22"/>
              </w:rPr>
            </w:pPr>
            <w:proofErr w:type="spellStart"/>
            <w:r w:rsidRPr="001158C8">
              <w:rPr>
                <w:rFonts w:asciiTheme="minorHAnsi" w:hAnsiTheme="minorHAnsi" w:cstheme="minorHAnsi"/>
                <w:sz w:val="22"/>
                <w:szCs w:val="22"/>
              </w:rPr>
              <w:t>imd</w:t>
            </w:r>
            <w:proofErr w:type="spellEnd"/>
            <w:r w:rsidRPr="001158C8">
              <w:rPr>
                <w:rFonts w:asciiTheme="minorHAnsi" w:hAnsiTheme="minorHAnsi" w:cstheme="minorHAnsi"/>
                <w:sz w:val="22"/>
                <w:szCs w:val="22"/>
              </w:rPr>
              <w:t xml:space="preserve"> quintile</w:t>
            </w:r>
          </w:p>
        </w:tc>
        <w:tc>
          <w:tcPr>
            <w:tcW w:w="516" w:type="pct"/>
          </w:tcPr>
          <w:p w14:paraId="22D05F2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2EE01DE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6E74D7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29339A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5168AD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CD91A2A"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FCDC92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04AA957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2F06BEA9" w14:textId="77777777" w:rsidTr="008147D7">
        <w:tc>
          <w:tcPr>
            <w:tcW w:w="866" w:type="pct"/>
          </w:tcPr>
          <w:p w14:paraId="223F686E"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abdominal pain</w:t>
            </w:r>
          </w:p>
        </w:tc>
        <w:tc>
          <w:tcPr>
            <w:tcW w:w="516" w:type="pct"/>
          </w:tcPr>
          <w:p w14:paraId="759603C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171CA00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4033C3D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CED221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0429AE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63DB77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8B3E30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1819C0D1"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21E5BC88" w14:textId="77777777" w:rsidTr="008147D7">
        <w:tc>
          <w:tcPr>
            <w:tcW w:w="866" w:type="pct"/>
          </w:tcPr>
          <w:p w14:paraId="30CD1DBB"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alcohol misuse</w:t>
            </w:r>
          </w:p>
        </w:tc>
        <w:tc>
          <w:tcPr>
            <w:tcW w:w="516" w:type="pct"/>
          </w:tcPr>
          <w:p w14:paraId="47FA5B9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6A985C5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21C319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3EA6D3C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1177168"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1B665CC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4102086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0608FD3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68C41455" w14:textId="77777777" w:rsidTr="008147D7">
        <w:tc>
          <w:tcPr>
            <w:tcW w:w="866" w:type="pct"/>
          </w:tcPr>
          <w:p w14:paraId="057E79B0"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lastRenderedPageBreak/>
              <w:t>anxiety</w:t>
            </w:r>
          </w:p>
        </w:tc>
        <w:tc>
          <w:tcPr>
            <w:tcW w:w="516" w:type="pct"/>
          </w:tcPr>
          <w:p w14:paraId="600F04F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3B3E622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347632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44B2CC5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A56204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520917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D78737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10F381B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41955739" w14:textId="77777777" w:rsidTr="008147D7">
        <w:tc>
          <w:tcPr>
            <w:tcW w:w="866" w:type="pct"/>
          </w:tcPr>
          <w:p w14:paraId="454CEC53"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asthma</w:t>
            </w:r>
          </w:p>
        </w:tc>
        <w:tc>
          <w:tcPr>
            <w:tcW w:w="516" w:type="pct"/>
          </w:tcPr>
          <w:p w14:paraId="3313182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7E9153A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842E0D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28B89AB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4D13DC3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DF4B268"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F6CF3A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11CB5C0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2358AE72" w14:textId="77777777" w:rsidTr="008147D7">
        <w:tc>
          <w:tcPr>
            <w:tcW w:w="866" w:type="pct"/>
          </w:tcPr>
          <w:p w14:paraId="193FFCC7"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back pain, with specific symptoms</w:t>
            </w:r>
          </w:p>
        </w:tc>
        <w:tc>
          <w:tcPr>
            <w:tcW w:w="516" w:type="pct"/>
          </w:tcPr>
          <w:p w14:paraId="46D1145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5E053FD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A6F01D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FA6235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03A6AE14"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C70F734"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4C859B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152764F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5369957B" w14:textId="77777777" w:rsidTr="008147D7">
        <w:tc>
          <w:tcPr>
            <w:tcW w:w="866" w:type="pct"/>
          </w:tcPr>
          <w:p w14:paraId="1C292209"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back pain without specific symptoms</w:t>
            </w:r>
          </w:p>
        </w:tc>
        <w:tc>
          <w:tcPr>
            <w:tcW w:w="516" w:type="pct"/>
          </w:tcPr>
          <w:p w14:paraId="710B65D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5D4F009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3AD7454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6F8A72A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D5CC4F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AFDD56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6F1CDA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156B60B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3498B74D" w14:textId="77777777" w:rsidTr="008147D7">
        <w:tc>
          <w:tcPr>
            <w:tcW w:w="866" w:type="pct"/>
          </w:tcPr>
          <w:p w14:paraId="14988373"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bed wetting</w:t>
            </w:r>
          </w:p>
        </w:tc>
        <w:tc>
          <w:tcPr>
            <w:tcW w:w="516" w:type="pct"/>
          </w:tcPr>
          <w:p w14:paraId="39F79E9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6B8C734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62E616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C5A74E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5443B6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5A8BF8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45C9874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5F57565B"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719FABE1" w14:textId="77777777" w:rsidTr="008147D7">
        <w:tc>
          <w:tcPr>
            <w:tcW w:w="866" w:type="pct"/>
          </w:tcPr>
          <w:p w14:paraId="61BCE16F"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bereavement</w:t>
            </w:r>
          </w:p>
        </w:tc>
        <w:tc>
          <w:tcPr>
            <w:tcW w:w="516" w:type="pct"/>
          </w:tcPr>
          <w:p w14:paraId="26213EB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646F885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5CF0CC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329586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3432214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02340FF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25548C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3CD5D02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0EF0224C" w14:textId="77777777" w:rsidTr="008147D7">
        <w:tc>
          <w:tcPr>
            <w:tcW w:w="866" w:type="pct"/>
          </w:tcPr>
          <w:p w14:paraId="1591C1AA"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carer (young)</w:t>
            </w:r>
          </w:p>
        </w:tc>
        <w:tc>
          <w:tcPr>
            <w:tcW w:w="516" w:type="pct"/>
          </w:tcPr>
          <w:p w14:paraId="13BF520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2DBAA40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C33269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15D23D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D358C0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A4AECD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76C23B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3AA2B46A"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3459E516" w14:textId="77777777" w:rsidTr="008147D7">
        <w:tc>
          <w:tcPr>
            <w:tcW w:w="866" w:type="pct"/>
          </w:tcPr>
          <w:p w14:paraId="2D6084A5"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count</w:t>
            </w:r>
          </w:p>
        </w:tc>
        <w:tc>
          <w:tcPr>
            <w:tcW w:w="516" w:type="pct"/>
          </w:tcPr>
          <w:p w14:paraId="6ACD68E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653E8A9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B58661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951CEB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273D8B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414E7C3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AFF19B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278BAC3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5A9F52F8" w14:textId="77777777" w:rsidTr="008147D7">
        <w:tc>
          <w:tcPr>
            <w:tcW w:w="866" w:type="pct"/>
          </w:tcPr>
          <w:p w14:paraId="77B65E8C"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developmental issues</w:t>
            </w:r>
          </w:p>
        </w:tc>
        <w:tc>
          <w:tcPr>
            <w:tcW w:w="516" w:type="pct"/>
          </w:tcPr>
          <w:p w14:paraId="2A560DB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425995E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1D97A8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F3DF67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725FFC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67D1D15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758562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12EE4A26"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66AB1C53" w14:textId="77777777" w:rsidTr="008147D7">
        <w:tc>
          <w:tcPr>
            <w:tcW w:w="866" w:type="pct"/>
          </w:tcPr>
          <w:p w14:paraId="2D3ED2A8"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diabetes</w:t>
            </w:r>
          </w:p>
        </w:tc>
        <w:tc>
          <w:tcPr>
            <w:tcW w:w="516" w:type="pct"/>
          </w:tcPr>
          <w:p w14:paraId="5E24335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2DD2BFA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090EB60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46A981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858965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598D9E5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8FF612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683F7CF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34E314DD" w14:textId="77777777" w:rsidTr="008147D7">
        <w:tc>
          <w:tcPr>
            <w:tcW w:w="866" w:type="pct"/>
          </w:tcPr>
          <w:p w14:paraId="4D6A8640"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drug misuse</w:t>
            </w:r>
          </w:p>
        </w:tc>
        <w:tc>
          <w:tcPr>
            <w:tcW w:w="516" w:type="pct"/>
          </w:tcPr>
          <w:p w14:paraId="0AAD26E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2FB9799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979F58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6CE642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46E46FD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44A3CF9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B5ED18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5F9A134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28F8F599" w14:textId="77777777" w:rsidTr="008147D7">
        <w:tc>
          <w:tcPr>
            <w:tcW w:w="866" w:type="pct"/>
          </w:tcPr>
          <w:p w14:paraId="06A43C5A"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dysmenorrhea</w:t>
            </w:r>
          </w:p>
        </w:tc>
        <w:tc>
          <w:tcPr>
            <w:tcW w:w="516" w:type="pct"/>
          </w:tcPr>
          <w:p w14:paraId="65AC08E8"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13DE9FA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EA058D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487CCAE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681E75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n/a</w:t>
            </w:r>
          </w:p>
        </w:tc>
        <w:tc>
          <w:tcPr>
            <w:tcW w:w="518" w:type="pct"/>
          </w:tcPr>
          <w:p w14:paraId="709527D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n/a</w:t>
            </w:r>
          </w:p>
        </w:tc>
        <w:tc>
          <w:tcPr>
            <w:tcW w:w="516" w:type="pct"/>
          </w:tcPr>
          <w:p w14:paraId="252602C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n/a</w:t>
            </w:r>
          </w:p>
        </w:tc>
        <w:tc>
          <w:tcPr>
            <w:tcW w:w="515" w:type="pct"/>
          </w:tcPr>
          <w:p w14:paraId="3E46460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n/a</w:t>
            </w:r>
          </w:p>
        </w:tc>
      </w:tr>
      <w:tr w:rsidR="00B33B4A" w:rsidRPr="007004AF" w14:paraId="37BB8627" w14:textId="77777777" w:rsidTr="008147D7">
        <w:tc>
          <w:tcPr>
            <w:tcW w:w="866" w:type="pct"/>
          </w:tcPr>
          <w:p w14:paraId="71F2C8DE"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dyspepsia</w:t>
            </w:r>
          </w:p>
        </w:tc>
        <w:tc>
          <w:tcPr>
            <w:tcW w:w="516" w:type="pct"/>
          </w:tcPr>
          <w:p w14:paraId="0A10E82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45A6210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14D66E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61726F1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E1C626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21F8DBB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311FFE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4492330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648210DC" w14:textId="77777777" w:rsidTr="008147D7">
        <w:tc>
          <w:tcPr>
            <w:tcW w:w="866" w:type="pct"/>
          </w:tcPr>
          <w:p w14:paraId="30166960"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eating disorders</w:t>
            </w:r>
          </w:p>
        </w:tc>
        <w:tc>
          <w:tcPr>
            <w:tcW w:w="516" w:type="pct"/>
          </w:tcPr>
          <w:p w14:paraId="66D54E3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20271CC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787D4F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102A77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DDEFA2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1E2FDBC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D0E1B1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1132CA2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39E16807" w14:textId="77777777" w:rsidTr="008147D7">
        <w:tc>
          <w:tcPr>
            <w:tcW w:w="866" w:type="pct"/>
          </w:tcPr>
          <w:p w14:paraId="6CCDA7D4"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emotion (childhood problems)</w:t>
            </w:r>
          </w:p>
        </w:tc>
        <w:tc>
          <w:tcPr>
            <w:tcW w:w="516" w:type="pct"/>
          </w:tcPr>
          <w:p w14:paraId="28AC5D0A"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777A073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F72FCB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195562D4"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BBD25E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263BBF4"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72E398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73630C72"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4E6E2D64" w14:textId="77777777" w:rsidTr="008147D7">
        <w:tc>
          <w:tcPr>
            <w:tcW w:w="866" w:type="pct"/>
          </w:tcPr>
          <w:p w14:paraId="17609CB4"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epilepsy</w:t>
            </w:r>
          </w:p>
        </w:tc>
        <w:tc>
          <w:tcPr>
            <w:tcW w:w="516" w:type="pct"/>
          </w:tcPr>
          <w:p w14:paraId="706855C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6DB0339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BB943B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D686F9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A8CF99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D4F457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528772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0C70620C"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6F7BF56D" w14:textId="77777777" w:rsidTr="008147D7">
        <w:tc>
          <w:tcPr>
            <w:tcW w:w="866" w:type="pct"/>
          </w:tcPr>
          <w:p w14:paraId="73D036A8"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excessive sweating</w:t>
            </w:r>
          </w:p>
        </w:tc>
        <w:tc>
          <w:tcPr>
            <w:tcW w:w="516" w:type="pct"/>
          </w:tcPr>
          <w:p w14:paraId="15CDC95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12B2B1D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C5DD37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6686127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407FF6F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831318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244CCF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04774AC4"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44FC3B91" w14:textId="77777777" w:rsidTr="008147D7">
        <w:tc>
          <w:tcPr>
            <w:tcW w:w="866" w:type="pct"/>
          </w:tcPr>
          <w:p w14:paraId="01834798"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headache</w:t>
            </w:r>
          </w:p>
        </w:tc>
        <w:tc>
          <w:tcPr>
            <w:tcW w:w="516" w:type="pct"/>
          </w:tcPr>
          <w:p w14:paraId="245E426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4F26150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030187F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6CC91B5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A2ABCE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49F15F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61B337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0C91808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3333CC14" w14:textId="77777777" w:rsidTr="008147D7">
        <w:tc>
          <w:tcPr>
            <w:tcW w:w="866" w:type="pct"/>
          </w:tcPr>
          <w:p w14:paraId="1B860DEF"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homeless</w:t>
            </w:r>
          </w:p>
        </w:tc>
        <w:tc>
          <w:tcPr>
            <w:tcW w:w="516" w:type="pct"/>
          </w:tcPr>
          <w:p w14:paraId="00D13EA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765D425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2C5F95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FFC455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BFE063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5B41F28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C0210D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464DD6B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7A3F3476" w14:textId="77777777" w:rsidTr="008147D7">
        <w:tc>
          <w:tcPr>
            <w:tcW w:w="866" w:type="pct"/>
          </w:tcPr>
          <w:p w14:paraId="6528F6AD"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ill-defined conditions</w:t>
            </w:r>
          </w:p>
        </w:tc>
        <w:tc>
          <w:tcPr>
            <w:tcW w:w="516" w:type="pct"/>
          </w:tcPr>
          <w:p w14:paraId="6F8C3BC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71DD9DC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DFAB18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7579B14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893E3B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C92B59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34C8BB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0A97BD20"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7AA91301" w14:textId="77777777" w:rsidTr="008147D7">
        <w:tc>
          <w:tcPr>
            <w:tcW w:w="866" w:type="pct"/>
          </w:tcPr>
          <w:p w14:paraId="65CC89C7"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loss of enjoyment</w:t>
            </w:r>
          </w:p>
        </w:tc>
        <w:tc>
          <w:tcPr>
            <w:tcW w:w="516" w:type="pct"/>
          </w:tcPr>
          <w:p w14:paraId="72CE7B5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765DE56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B37BBD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42E5CA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31A5774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3DE3F34"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02B884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511701B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5C9E7BA4" w14:textId="77777777" w:rsidTr="008147D7">
        <w:tc>
          <w:tcPr>
            <w:tcW w:w="866" w:type="pct"/>
          </w:tcPr>
          <w:p w14:paraId="434B0B8B"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low mood</w:t>
            </w:r>
          </w:p>
        </w:tc>
        <w:tc>
          <w:tcPr>
            <w:tcW w:w="516" w:type="pct"/>
          </w:tcPr>
          <w:p w14:paraId="3106A8D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678815A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AB451F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22B9021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E92F1C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651E73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F20CC6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484D681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515E28D7" w14:textId="77777777" w:rsidTr="008147D7">
        <w:tc>
          <w:tcPr>
            <w:tcW w:w="866" w:type="pct"/>
          </w:tcPr>
          <w:p w14:paraId="46FA1B25"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Missing smoker data</w:t>
            </w:r>
          </w:p>
        </w:tc>
        <w:tc>
          <w:tcPr>
            <w:tcW w:w="516" w:type="pct"/>
          </w:tcPr>
          <w:p w14:paraId="03F028B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2F57D3B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7630E3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0E2641C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CB666A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2C8CFC1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37AF0B7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5158A92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14FE601F" w14:textId="77777777" w:rsidTr="008147D7">
        <w:tc>
          <w:tcPr>
            <w:tcW w:w="866" w:type="pct"/>
          </w:tcPr>
          <w:p w14:paraId="24519A9F"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missed immunization</w:t>
            </w:r>
          </w:p>
        </w:tc>
        <w:tc>
          <w:tcPr>
            <w:tcW w:w="516" w:type="pct"/>
          </w:tcPr>
          <w:p w14:paraId="69A5896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0E95CEE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42F1F2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ECAED9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A098C3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B54724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1B0909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4DA6D9CD"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12C1B716" w14:textId="77777777" w:rsidTr="008147D7">
        <w:tc>
          <w:tcPr>
            <w:tcW w:w="866" w:type="pct"/>
          </w:tcPr>
          <w:p w14:paraId="7DBA4625"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neonatal problems</w:t>
            </w:r>
          </w:p>
        </w:tc>
        <w:tc>
          <w:tcPr>
            <w:tcW w:w="516" w:type="pct"/>
          </w:tcPr>
          <w:p w14:paraId="6E22052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2A2DACC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3549F38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1108CC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2F6CA5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70BCA5F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0390B4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77730632"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227F28A1" w14:textId="77777777" w:rsidTr="008147D7">
        <w:tc>
          <w:tcPr>
            <w:tcW w:w="866" w:type="pct"/>
          </w:tcPr>
          <w:p w14:paraId="2C99717A"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non accidental injury</w:t>
            </w:r>
          </w:p>
        </w:tc>
        <w:tc>
          <w:tcPr>
            <w:tcW w:w="516" w:type="pct"/>
          </w:tcPr>
          <w:p w14:paraId="15A32EC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3046AA3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1FCC79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9829E6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303195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48EF6B9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3FEF23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069F25F0"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348D9732" w14:textId="77777777" w:rsidTr="008147D7">
        <w:tc>
          <w:tcPr>
            <w:tcW w:w="866" w:type="pct"/>
          </w:tcPr>
          <w:p w14:paraId="0346640F" w14:textId="77777777" w:rsidR="00B33B4A" w:rsidRPr="001158C8" w:rsidRDefault="00B33B4A" w:rsidP="008147D7">
            <w:pPr>
              <w:spacing w:line="240" w:lineRule="auto"/>
              <w:ind w:firstLine="0"/>
              <w:rPr>
                <w:rFonts w:asciiTheme="minorHAnsi" w:hAnsiTheme="minorHAnsi" w:cstheme="minorHAnsi"/>
                <w:sz w:val="22"/>
                <w:szCs w:val="22"/>
              </w:rPr>
            </w:pPr>
            <w:proofErr w:type="spellStart"/>
            <w:r w:rsidRPr="001158C8">
              <w:rPr>
                <w:rFonts w:asciiTheme="minorHAnsi" w:hAnsiTheme="minorHAnsi" w:cstheme="minorHAnsi"/>
                <w:sz w:val="22"/>
                <w:szCs w:val="22"/>
              </w:rPr>
              <w:t>ocd</w:t>
            </w:r>
            <w:proofErr w:type="spellEnd"/>
          </w:p>
        </w:tc>
        <w:tc>
          <w:tcPr>
            <w:tcW w:w="516" w:type="pct"/>
          </w:tcPr>
          <w:p w14:paraId="3E79566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4FF5C90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32CEC5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0D73188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37FB30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2502F24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D162BA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5695313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7F2EF757" w14:textId="77777777" w:rsidTr="008147D7">
        <w:tc>
          <w:tcPr>
            <w:tcW w:w="866" w:type="pct"/>
          </w:tcPr>
          <w:p w14:paraId="36EE23F2"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other somatic symptoms</w:t>
            </w:r>
          </w:p>
        </w:tc>
        <w:tc>
          <w:tcPr>
            <w:tcW w:w="516" w:type="pct"/>
          </w:tcPr>
          <w:p w14:paraId="68E5B90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4FF831A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F9509D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13A8405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38B960E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AC6B40A"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3F5B9B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34E2E319"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52207829" w14:textId="77777777" w:rsidTr="008147D7">
        <w:tc>
          <w:tcPr>
            <w:tcW w:w="866" w:type="pct"/>
          </w:tcPr>
          <w:p w14:paraId="47D3CCD3"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psychosexual problems</w:t>
            </w:r>
          </w:p>
        </w:tc>
        <w:tc>
          <w:tcPr>
            <w:tcW w:w="516" w:type="pct"/>
          </w:tcPr>
          <w:p w14:paraId="23659D2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0C4BE87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721251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D99E99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4A2D25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756D46C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7C41FA7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0A3298E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7D3C8CD9" w14:textId="77777777" w:rsidTr="008147D7">
        <w:tc>
          <w:tcPr>
            <w:tcW w:w="866" w:type="pct"/>
          </w:tcPr>
          <w:p w14:paraId="42AE971C" w14:textId="77777777" w:rsidR="00B33B4A" w:rsidRPr="001158C8" w:rsidRDefault="00B33B4A" w:rsidP="008147D7">
            <w:pPr>
              <w:spacing w:line="240" w:lineRule="auto"/>
              <w:ind w:firstLine="0"/>
              <w:rPr>
                <w:rFonts w:asciiTheme="minorHAnsi" w:hAnsiTheme="minorHAnsi" w:cstheme="minorHAnsi"/>
                <w:sz w:val="22"/>
                <w:szCs w:val="22"/>
              </w:rPr>
            </w:pPr>
            <w:proofErr w:type="spellStart"/>
            <w:r w:rsidRPr="001158C8">
              <w:rPr>
                <w:rFonts w:asciiTheme="minorHAnsi" w:hAnsiTheme="minorHAnsi" w:cstheme="minorHAnsi"/>
                <w:sz w:val="22"/>
                <w:szCs w:val="22"/>
              </w:rPr>
              <w:t>ptsd</w:t>
            </w:r>
            <w:proofErr w:type="spellEnd"/>
          </w:p>
        </w:tc>
        <w:tc>
          <w:tcPr>
            <w:tcW w:w="516" w:type="pct"/>
          </w:tcPr>
          <w:p w14:paraId="3EE7DB5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5FD5C3E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6CA9E4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4627370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976DF9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106C416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414EF7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5232ADA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624CAB4B" w14:textId="77777777" w:rsidTr="008147D7">
        <w:tc>
          <w:tcPr>
            <w:tcW w:w="866" w:type="pct"/>
          </w:tcPr>
          <w:p w14:paraId="16F44EFB"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puberty (early/late)</w:t>
            </w:r>
          </w:p>
        </w:tc>
        <w:tc>
          <w:tcPr>
            <w:tcW w:w="516" w:type="pct"/>
          </w:tcPr>
          <w:p w14:paraId="3586A74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09CB720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CE27BB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77B00685"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36F718A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407872CA"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7D87FD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77ADD18B"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384AB16B" w14:textId="77777777" w:rsidTr="008147D7">
        <w:tc>
          <w:tcPr>
            <w:tcW w:w="866" w:type="pct"/>
          </w:tcPr>
          <w:p w14:paraId="3254485E"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lastRenderedPageBreak/>
              <w:t>school problems</w:t>
            </w:r>
          </w:p>
        </w:tc>
        <w:tc>
          <w:tcPr>
            <w:tcW w:w="516" w:type="pct"/>
          </w:tcPr>
          <w:p w14:paraId="66691C1B"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69682F7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CF1EB8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47E496B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775F48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333561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37A387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52D45EEE"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1F15694C" w14:textId="77777777" w:rsidTr="008147D7">
        <w:tc>
          <w:tcPr>
            <w:tcW w:w="866" w:type="pct"/>
          </w:tcPr>
          <w:p w14:paraId="2485315C" w14:textId="77777777" w:rsidR="00B33B4A" w:rsidRPr="001158C8" w:rsidRDefault="00B33B4A" w:rsidP="008147D7">
            <w:pPr>
              <w:spacing w:line="240" w:lineRule="auto"/>
              <w:ind w:firstLine="0"/>
              <w:rPr>
                <w:rFonts w:asciiTheme="minorHAnsi" w:hAnsiTheme="minorHAnsi" w:cstheme="minorHAnsi"/>
                <w:sz w:val="22"/>
                <w:szCs w:val="22"/>
              </w:rPr>
            </w:pPr>
            <w:proofErr w:type="spellStart"/>
            <w:r w:rsidRPr="001158C8">
              <w:rPr>
                <w:rFonts w:asciiTheme="minorHAnsi" w:hAnsiTheme="minorHAnsi" w:cstheme="minorHAnsi"/>
                <w:sz w:val="22"/>
                <w:szCs w:val="22"/>
              </w:rPr>
              <w:t>self harm</w:t>
            </w:r>
            <w:proofErr w:type="spellEnd"/>
          </w:p>
        </w:tc>
        <w:tc>
          <w:tcPr>
            <w:tcW w:w="516" w:type="pct"/>
          </w:tcPr>
          <w:p w14:paraId="24C367F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77777A5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3D9E3E9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AD4FE8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836482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357BE85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D8D7DC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681F97F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09C59028" w14:textId="77777777" w:rsidTr="008147D7">
        <w:tc>
          <w:tcPr>
            <w:tcW w:w="866" w:type="pct"/>
          </w:tcPr>
          <w:p w14:paraId="1375538A"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skin problems</w:t>
            </w:r>
          </w:p>
        </w:tc>
        <w:tc>
          <w:tcPr>
            <w:tcW w:w="516" w:type="pct"/>
          </w:tcPr>
          <w:p w14:paraId="1712A13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40BE6FE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4D8A77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669E892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B008B1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EE4B6B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7743524A"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6CB8D4B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53B5CC84" w14:textId="77777777" w:rsidTr="008147D7">
        <w:tc>
          <w:tcPr>
            <w:tcW w:w="866" w:type="pct"/>
          </w:tcPr>
          <w:p w14:paraId="7B380500"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sleep, too little</w:t>
            </w:r>
          </w:p>
        </w:tc>
        <w:tc>
          <w:tcPr>
            <w:tcW w:w="516" w:type="pct"/>
          </w:tcPr>
          <w:p w14:paraId="2F24D33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32C8263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436F1D7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8CB3AE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479E5D8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21768F5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C66804E"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63551FE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13BCC8CE" w14:textId="77777777" w:rsidTr="008147D7">
        <w:tc>
          <w:tcPr>
            <w:tcW w:w="866" w:type="pct"/>
          </w:tcPr>
          <w:p w14:paraId="0073B781"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sleep, too much</w:t>
            </w:r>
          </w:p>
        </w:tc>
        <w:tc>
          <w:tcPr>
            <w:tcW w:w="516" w:type="pct"/>
          </w:tcPr>
          <w:p w14:paraId="72537147"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062DB17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21FD432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C05CF6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55F1E6D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C32038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65BE0CB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46FA849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31C520C3" w14:textId="77777777" w:rsidTr="008147D7">
        <w:tc>
          <w:tcPr>
            <w:tcW w:w="866" w:type="pct"/>
          </w:tcPr>
          <w:p w14:paraId="4C7052AA"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smoker</w:t>
            </w:r>
          </w:p>
        </w:tc>
        <w:tc>
          <w:tcPr>
            <w:tcW w:w="516" w:type="pct"/>
          </w:tcPr>
          <w:p w14:paraId="0C2016B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4613D42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01BEB11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0B9B84F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847A1A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F11C34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077C4A44"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4639C84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1B64A6A0" w14:textId="77777777" w:rsidTr="008147D7">
        <w:tc>
          <w:tcPr>
            <w:tcW w:w="866" w:type="pct"/>
          </w:tcPr>
          <w:p w14:paraId="7286B1ED"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social services involvement</w:t>
            </w:r>
          </w:p>
        </w:tc>
        <w:tc>
          <w:tcPr>
            <w:tcW w:w="516" w:type="pct"/>
          </w:tcPr>
          <w:p w14:paraId="3464D02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1A932A9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AD586F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0CA7C71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B8C8B0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79BE59B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683C67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5860FA0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719E8A93" w14:textId="77777777" w:rsidTr="008147D7">
        <w:tc>
          <w:tcPr>
            <w:tcW w:w="866" w:type="pct"/>
          </w:tcPr>
          <w:p w14:paraId="7F5917EC"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tiredness</w:t>
            </w:r>
          </w:p>
        </w:tc>
        <w:tc>
          <w:tcPr>
            <w:tcW w:w="516" w:type="pct"/>
          </w:tcPr>
          <w:p w14:paraId="17F7A3B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9" w:type="pct"/>
          </w:tcPr>
          <w:p w14:paraId="1251257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4E16E24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5EF2AEE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1F2CC53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39674A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E06ABFA"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31003FDB"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7FEEF20F" w14:textId="77777777" w:rsidTr="008147D7">
        <w:tc>
          <w:tcPr>
            <w:tcW w:w="866" w:type="pct"/>
          </w:tcPr>
          <w:p w14:paraId="6A371752"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weight gain</w:t>
            </w:r>
          </w:p>
        </w:tc>
        <w:tc>
          <w:tcPr>
            <w:tcW w:w="516" w:type="pct"/>
          </w:tcPr>
          <w:p w14:paraId="5E86909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6B66991F"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A0D1C0B"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43F9AD7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C813F91"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65708F7D"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2A3DAB3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1ADF3487"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2B3D503C" w14:textId="77777777" w:rsidTr="008147D7">
        <w:tc>
          <w:tcPr>
            <w:tcW w:w="866" w:type="pct"/>
          </w:tcPr>
          <w:p w14:paraId="0CC9338C"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weight loss</w:t>
            </w:r>
          </w:p>
        </w:tc>
        <w:tc>
          <w:tcPr>
            <w:tcW w:w="516" w:type="pct"/>
          </w:tcPr>
          <w:p w14:paraId="1DCB2C5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16710570"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8EA4885"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1EECDDF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000B7FA2"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542C20D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3BF50B1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42B8165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70487AE4" w14:textId="77777777" w:rsidTr="008147D7">
        <w:tc>
          <w:tcPr>
            <w:tcW w:w="866" w:type="pct"/>
          </w:tcPr>
          <w:p w14:paraId="6A3BDEB8"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work stress</w:t>
            </w:r>
          </w:p>
        </w:tc>
        <w:tc>
          <w:tcPr>
            <w:tcW w:w="516" w:type="pct"/>
          </w:tcPr>
          <w:p w14:paraId="15DC1948"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37C289D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3D2FD1A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8" w:type="pct"/>
          </w:tcPr>
          <w:p w14:paraId="6E8AE2D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6" w:type="pct"/>
          </w:tcPr>
          <w:p w14:paraId="612E010A"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3CEAC4DC"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58EF8C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c>
          <w:tcPr>
            <w:tcW w:w="515" w:type="pct"/>
          </w:tcPr>
          <w:p w14:paraId="28EB91E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sym w:font="Wingdings" w:char="F0FC"/>
            </w:r>
          </w:p>
        </w:tc>
      </w:tr>
      <w:tr w:rsidR="00B33B4A" w:rsidRPr="007004AF" w14:paraId="4E5F3948" w14:textId="77777777" w:rsidTr="008147D7">
        <w:tc>
          <w:tcPr>
            <w:tcW w:w="866" w:type="pct"/>
          </w:tcPr>
          <w:p w14:paraId="279F7D55" w14:textId="77777777" w:rsidR="00B33B4A" w:rsidRPr="001158C8" w:rsidRDefault="00B33B4A" w:rsidP="008147D7">
            <w:pPr>
              <w:spacing w:line="240" w:lineRule="auto"/>
              <w:ind w:firstLine="0"/>
              <w:rPr>
                <w:rFonts w:asciiTheme="minorHAnsi" w:hAnsiTheme="minorHAnsi" w:cstheme="minorHAnsi"/>
                <w:sz w:val="22"/>
                <w:szCs w:val="22"/>
              </w:rPr>
            </w:pPr>
          </w:p>
        </w:tc>
        <w:tc>
          <w:tcPr>
            <w:tcW w:w="516" w:type="pct"/>
          </w:tcPr>
          <w:p w14:paraId="2C97ED23"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9" w:type="pct"/>
          </w:tcPr>
          <w:p w14:paraId="5B71279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1F089776"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7A747E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577E7868"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8" w:type="pct"/>
          </w:tcPr>
          <w:p w14:paraId="29DE018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6" w:type="pct"/>
          </w:tcPr>
          <w:p w14:paraId="44EE5AE9"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515" w:type="pct"/>
          </w:tcPr>
          <w:p w14:paraId="07226A93" w14:textId="77777777" w:rsidR="00B33B4A" w:rsidRPr="001158C8" w:rsidRDefault="00B33B4A" w:rsidP="008147D7">
            <w:pPr>
              <w:spacing w:line="240" w:lineRule="auto"/>
              <w:ind w:firstLine="0"/>
              <w:jc w:val="center"/>
              <w:rPr>
                <w:rFonts w:asciiTheme="minorHAnsi" w:hAnsiTheme="minorHAnsi" w:cstheme="minorHAnsi"/>
                <w:sz w:val="22"/>
                <w:szCs w:val="22"/>
              </w:rPr>
            </w:pPr>
          </w:p>
        </w:tc>
      </w:tr>
      <w:tr w:rsidR="00B33B4A" w:rsidRPr="007004AF" w14:paraId="0B7425FB" w14:textId="77777777" w:rsidTr="008147D7">
        <w:tc>
          <w:tcPr>
            <w:tcW w:w="866" w:type="pct"/>
          </w:tcPr>
          <w:p w14:paraId="36255B9E"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Total (of 48)</w:t>
            </w:r>
          </w:p>
        </w:tc>
        <w:tc>
          <w:tcPr>
            <w:tcW w:w="516" w:type="pct"/>
          </w:tcPr>
          <w:p w14:paraId="52389BC8"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22</w:t>
            </w:r>
          </w:p>
        </w:tc>
        <w:tc>
          <w:tcPr>
            <w:tcW w:w="519" w:type="pct"/>
          </w:tcPr>
          <w:p w14:paraId="60BD2A4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26</w:t>
            </w:r>
          </w:p>
        </w:tc>
        <w:tc>
          <w:tcPr>
            <w:tcW w:w="516" w:type="pct"/>
          </w:tcPr>
          <w:p w14:paraId="540B27A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32</w:t>
            </w:r>
          </w:p>
        </w:tc>
        <w:tc>
          <w:tcPr>
            <w:tcW w:w="518" w:type="pct"/>
          </w:tcPr>
          <w:p w14:paraId="4AFE01CC"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33</w:t>
            </w:r>
          </w:p>
        </w:tc>
        <w:tc>
          <w:tcPr>
            <w:tcW w:w="516" w:type="pct"/>
          </w:tcPr>
          <w:p w14:paraId="0D97C2C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22</w:t>
            </w:r>
          </w:p>
        </w:tc>
        <w:tc>
          <w:tcPr>
            <w:tcW w:w="518" w:type="pct"/>
          </w:tcPr>
          <w:p w14:paraId="12192E8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18</w:t>
            </w:r>
          </w:p>
        </w:tc>
        <w:tc>
          <w:tcPr>
            <w:tcW w:w="516" w:type="pct"/>
          </w:tcPr>
          <w:p w14:paraId="6B1BCFA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29</w:t>
            </w:r>
          </w:p>
        </w:tc>
        <w:tc>
          <w:tcPr>
            <w:tcW w:w="515" w:type="pct"/>
          </w:tcPr>
          <w:p w14:paraId="24F94FB9"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31</w:t>
            </w:r>
          </w:p>
        </w:tc>
      </w:tr>
      <w:tr w:rsidR="00B33B4A" w:rsidRPr="007004AF" w14:paraId="1466B38E" w14:textId="77777777" w:rsidTr="008147D7">
        <w:tc>
          <w:tcPr>
            <w:tcW w:w="866" w:type="pct"/>
          </w:tcPr>
          <w:p w14:paraId="01E1C363"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Common Predictors (n)</w:t>
            </w:r>
          </w:p>
        </w:tc>
        <w:tc>
          <w:tcPr>
            <w:tcW w:w="1035" w:type="pct"/>
            <w:gridSpan w:val="2"/>
          </w:tcPr>
          <w:p w14:paraId="4D115F17"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20</w:t>
            </w:r>
          </w:p>
          <w:p w14:paraId="2E79E30E" w14:textId="77777777" w:rsidR="00B33B4A" w:rsidRPr="001158C8" w:rsidRDefault="00B33B4A" w:rsidP="008147D7">
            <w:pPr>
              <w:spacing w:line="240" w:lineRule="auto"/>
              <w:ind w:firstLine="0"/>
              <w:jc w:val="center"/>
              <w:rPr>
                <w:rFonts w:asciiTheme="minorHAnsi" w:hAnsiTheme="minorHAnsi" w:cstheme="minorHAnsi"/>
                <w:sz w:val="22"/>
                <w:szCs w:val="22"/>
              </w:rPr>
            </w:pPr>
          </w:p>
        </w:tc>
        <w:tc>
          <w:tcPr>
            <w:tcW w:w="1034" w:type="pct"/>
            <w:gridSpan w:val="2"/>
          </w:tcPr>
          <w:p w14:paraId="15085792"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27</w:t>
            </w:r>
          </w:p>
        </w:tc>
        <w:tc>
          <w:tcPr>
            <w:tcW w:w="1034" w:type="pct"/>
            <w:gridSpan w:val="2"/>
          </w:tcPr>
          <w:p w14:paraId="7C143A73"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14</w:t>
            </w:r>
          </w:p>
        </w:tc>
        <w:tc>
          <w:tcPr>
            <w:tcW w:w="1031" w:type="pct"/>
            <w:gridSpan w:val="2"/>
          </w:tcPr>
          <w:p w14:paraId="2F1359BF"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23</w:t>
            </w:r>
          </w:p>
        </w:tc>
      </w:tr>
      <w:tr w:rsidR="00B33B4A" w:rsidRPr="007004AF" w14:paraId="64B314EC" w14:textId="77777777" w:rsidTr="008147D7">
        <w:tc>
          <w:tcPr>
            <w:tcW w:w="866" w:type="pct"/>
          </w:tcPr>
          <w:p w14:paraId="430306C8" w14:textId="77777777" w:rsidR="00B33B4A" w:rsidRPr="001158C8" w:rsidRDefault="00B33B4A" w:rsidP="008147D7">
            <w:pPr>
              <w:spacing w:line="240" w:lineRule="auto"/>
              <w:ind w:firstLine="0"/>
              <w:rPr>
                <w:rFonts w:asciiTheme="minorHAnsi" w:hAnsiTheme="minorHAnsi" w:cstheme="minorHAnsi"/>
                <w:sz w:val="22"/>
                <w:szCs w:val="22"/>
              </w:rPr>
            </w:pPr>
            <w:r w:rsidRPr="001158C8">
              <w:rPr>
                <w:rFonts w:asciiTheme="minorHAnsi" w:hAnsiTheme="minorHAnsi" w:cstheme="minorHAnsi"/>
                <w:sz w:val="22"/>
                <w:szCs w:val="22"/>
              </w:rPr>
              <w:t>Correlation (phi)</w:t>
            </w:r>
          </w:p>
        </w:tc>
        <w:tc>
          <w:tcPr>
            <w:tcW w:w="1035" w:type="pct"/>
            <w:gridSpan w:val="2"/>
          </w:tcPr>
          <w:p w14:paraId="66280956"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0.66</w:t>
            </w:r>
          </w:p>
        </w:tc>
        <w:tc>
          <w:tcPr>
            <w:tcW w:w="1034" w:type="pct"/>
            <w:gridSpan w:val="2"/>
          </w:tcPr>
          <w:p w14:paraId="28FB0A8D"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0.46</w:t>
            </w:r>
          </w:p>
        </w:tc>
        <w:tc>
          <w:tcPr>
            <w:tcW w:w="1034" w:type="pct"/>
            <w:gridSpan w:val="2"/>
          </w:tcPr>
          <w:p w14:paraId="41D082B0"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0.59</w:t>
            </w:r>
          </w:p>
        </w:tc>
        <w:tc>
          <w:tcPr>
            <w:tcW w:w="1031" w:type="pct"/>
            <w:gridSpan w:val="2"/>
          </w:tcPr>
          <w:p w14:paraId="77326E01" w14:textId="77777777" w:rsidR="00B33B4A" w:rsidRPr="001158C8" w:rsidRDefault="00B33B4A" w:rsidP="008147D7">
            <w:pPr>
              <w:spacing w:line="240" w:lineRule="auto"/>
              <w:ind w:firstLine="0"/>
              <w:jc w:val="center"/>
              <w:rPr>
                <w:rFonts w:asciiTheme="minorHAnsi" w:hAnsiTheme="minorHAnsi" w:cstheme="minorHAnsi"/>
                <w:sz w:val="22"/>
                <w:szCs w:val="22"/>
              </w:rPr>
            </w:pPr>
            <w:r w:rsidRPr="001158C8">
              <w:rPr>
                <w:rFonts w:asciiTheme="minorHAnsi" w:hAnsiTheme="minorHAnsi" w:cstheme="minorHAnsi"/>
                <w:sz w:val="22"/>
                <w:szCs w:val="22"/>
              </w:rPr>
              <w:t>0.39</w:t>
            </w:r>
          </w:p>
        </w:tc>
      </w:tr>
    </w:tbl>
    <w:p w14:paraId="4536859D" w14:textId="77777777" w:rsidR="00B33B4A" w:rsidRDefault="00B33B4A" w:rsidP="00B33B4A">
      <w:pPr>
        <w:spacing w:after="0" w:line="240" w:lineRule="auto"/>
      </w:pPr>
      <w:r>
        <w:t>Note 1: D</w:t>
      </w:r>
      <w:r w:rsidRPr="00AB4F57">
        <w:t>ysmenorrhea</w:t>
      </w:r>
      <w:r>
        <w:t xml:space="preserve"> does not present in males.</w:t>
      </w:r>
    </w:p>
    <w:p w14:paraId="57B0B6BE" w14:textId="77777777" w:rsidR="00B33B4A" w:rsidRDefault="00B33B4A" w:rsidP="00B33B4A">
      <w:pPr>
        <w:spacing w:after="0" w:line="240" w:lineRule="auto"/>
      </w:pPr>
      <w:r>
        <w:t>Note 2: Predictors in bold common across all models in both NRCBM and this replication.</w:t>
      </w:r>
    </w:p>
    <w:p w14:paraId="315F87A4" w14:textId="5E018133" w:rsidR="00B33B4A" w:rsidRPr="00CA1B40" w:rsidRDefault="00B33B4A" w:rsidP="00B33B4A">
      <w:pPr>
        <w:spacing w:after="0" w:line="240" w:lineRule="auto"/>
      </w:pPr>
      <w:r>
        <w:t xml:space="preserve">Note 3: For interpretation of phi: </w:t>
      </w:r>
      <w:r w:rsidRPr="0041777F">
        <w:t>0.01 to 0.19 - no or negligible,  0.20 to 0.29 - weak,  0.30 to 0.39 – moderate,  0.40 to 0.69 - strong 0.70 or higher - very strong positive relationship</w:t>
      </w:r>
      <w:r>
        <w:t xml:space="preserve"> </w:t>
      </w:r>
      <w:r>
        <w:fldChar w:fldCharType="begin"/>
      </w:r>
      <w:r w:rsidR="00A13401">
        <w:instrText xml:space="preserve"> ADDIN ZOTERO_ITEM CSL_CITATION {"citationID":"XM7q73cb","properties":{"formattedCitation":"(83)","plainCitation":"(83)","noteIndex":0},"citationItems":[{"id":6736,"uris":["http://zotero.org/users/5225066/items/2XTI72MV"],"itemData":{"id":6736,"type":"article-journal","abstract":"When writing a manuscript, we often use words such as perfect, strong, good or weak to name the strength of the relationship between variables. However, it is unclear where a good relationship turns into a strong one. The same strength of r is named differently by several researchers. Therefore, there is an absolute necessity to explicitly report the strength and direction of r while reporting correlation coefficients in manuscripts. This article aims to familiarize medical readers with several different correlation coefficients reported in medical manuscripts, clarify confounding aspects and summarize the naming practices for the strength of correlation coefficients.","container-title":"Turkish Journal of Emergency Medicine","DOI":"10.1016/j.tjem.2018.08.001","ISSN":"2452-2473","issue":"3","journalAbbreviation":"Turk J Emerg Med","note":"PMID: 30191186\nPMCID: PMC6107969","page":"91-93","source":"PubMed Central","title":"User's guide to correlation coefficients","volume":"18","author":[{"family":"Akoglu","given":"Haldun"}],"issued":{"date-parts":[["2018",8,7]]}}}],"schema":"https://github.com/citation-style-language/schema/raw/master/csl-citation.json"} </w:instrText>
      </w:r>
      <w:r>
        <w:fldChar w:fldCharType="separate"/>
      </w:r>
      <w:r w:rsidR="00A13401" w:rsidRPr="00A13401">
        <w:rPr>
          <w:rFonts w:ascii="Calibri" w:hAnsi="Calibri" w:cs="Calibri"/>
        </w:rPr>
        <w:t>(83)</w:t>
      </w:r>
      <w:r>
        <w:fldChar w:fldCharType="end"/>
      </w:r>
      <w:r>
        <w:t>.</w:t>
      </w:r>
    </w:p>
    <w:p w14:paraId="021835D3" w14:textId="77777777" w:rsidR="00B33B4A" w:rsidRPr="007132E7" w:rsidRDefault="00B33B4A" w:rsidP="004320C0">
      <w:pPr>
        <w:spacing w:after="0" w:line="240" w:lineRule="auto"/>
      </w:pPr>
    </w:p>
    <w:sectPr w:rsidR="00B33B4A" w:rsidRPr="007132E7" w:rsidSect="00B33B4A">
      <w:head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76A4" w14:textId="77777777" w:rsidR="00FE1AD4" w:rsidRDefault="00FE1AD4" w:rsidP="00764234">
      <w:r>
        <w:separator/>
      </w:r>
    </w:p>
  </w:endnote>
  <w:endnote w:type="continuationSeparator" w:id="0">
    <w:p w14:paraId="32596E70" w14:textId="77777777" w:rsidR="00FE1AD4" w:rsidRDefault="00FE1AD4" w:rsidP="0076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729B" w14:textId="77777777" w:rsidR="00FE1AD4" w:rsidRDefault="00FE1AD4" w:rsidP="00764234">
      <w:r>
        <w:separator/>
      </w:r>
    </w:p>
  </w:footnote>
  <w:footnote w:type="continuationSeparator" w:id="0">
    <w:p w14:paraId="0F86D255" w14:textId="77777777" w:rsidR="00FE1AD4" w:rsidRDefault="00FE1AD4" w:rsidP="00764234">
      <w:r>
        <w:continuationSeparator/>
      </w:r>
    </w:p>
  </w:footnote>
  <w:footnote w:id="1">
    <w:p w14:paraId="33A1D859" w14:textId="67DF6FDF" w:rsidR="00752D9E" w:rsidRDefault="00752D9E" w:rsidP="00764234">
      <w:pPr>
        <w:pStyle w:val="FootnoteText"/>
      </w:pPr>
      <w:r w:rsidRPr="00DC16C4">
        <w:rPr>
          <w:rStyle w:val="FootnoteReference"/>
        </w:rPr>
        <w:footnoteRef/>
      </w:r>
      <w:r>
        <w:t xml:space="preserve"> This pragmatic reason matters for claims about reproducibility and replicability, and we return to it in the general discussion section.  </w:t>
      </w:r>
    </w:p>
  </w:footnote>
  <w:footnote w:id="2">
    <w:p w14:paraId="22677C14" w14:textId="0C4382C9" w:rsidR="006A68F1" w:rsidRPr="002E2CB6" w:rsidRDefault="006A68F1" w:rsidP="00764234">
      <w:pPr>
        <w:pStyle w:val="FootnoteText"/>
      </w:pPr>
      <w:r w:rsidRPr="00DC16C4">
        <w:rPr>
          <w:rStyle w:val="FootnoteReference"/>
        </w:rPr>
        <w:footnoteRef/>
      </w:r>
      <w:r w:rsidRPr="002E2CB6">
        <w:t xml:space="preserve"> NRCBM also investigated trends in univariable odds ratios for each year. We did not use the same method because a) NRCBM did not provide any precise threshold for predictor exclusion using this method, and b) did not in fact exclude any predictors based on this approach.</w:t>
      </w:r>
    </w:p>
  </w:footnote>
  <w:footnote w:id="3">
    <w:p w14:paraId="5D210F8B" w14:textId="06B95A2E" w:rsidR="006A68F1" w:rsidRPr="002E2CB6" w:rsidRDefault="006A68F1" w:rsidP="00764234">
      <w:r w:rsidRPr="00DC16C4">
        <w:rPr>
          <w:rStyle w:val="FootnoteReference"/>
        </w:rPr>
        <w:footnoteRef/>
      </w:r>
      <w:r w:rsidRPr="002E2CB6">
        <w:t xml:space="preserve"> NRCBM also report sensitivity analysis in which they refitted their models after removing specific predictors</w:t>
      </w:r>
      <w:r w:rsidR="00BE0454">
        <w:t xml:space="preserve"> </w:t>
      </w:r>
      <w:r w:rsidRPr="002E2CB6">
        <w:t xml:space="preserve">that are typically associated with depression (anxiety, bereavement, low mood, self-harm, OCD and PTSD).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14834"/>
      <w:docPartObj>
        <w:docPartGallery w:val="Page Numbers (Top of Page)"/>
        <w:docPartUnique/>
      </w:docPartObj>
    </w:sdtPr>
    <w:sdtEndPr>
      <w:rPr>
        <w:noProof/>
      </w:rPr>
    </w:sdtEndPr>
    <w:sdtContent>
      <w:p w14:paraId="51C71820" w14:textId="7ADD777E" w:rsidR="002B7427" w:rsidRDefault="002B7427" w:rsidP="00764234">
        <w:pPr>
          <w:pStyle w:val="Header"/>
        </w:pPr>
        <w:r>
          <w:fldChar w:fldCharType="begin"/>
        </w:r>
        <w:r>
          <w:instrText xml:space="preserve"> PAGE   \* MERGEFORMAT </w:instrText>
        </w:r>
        <w:r>
          <w:fldChar w:fldCharType="separate"/>
        </w:r>
        <w:r>
          <w:rPr>
            <w:noProof/>
          </w:rPr>
          <w:t>2</w:t>
        </w:r>
        <w:r>
          <w:rPr>
            <w:noProof/>
          </w:rPr>
          <w:fldChar w:fldCharType="end"/>
        </w:r>
      </w:p>
    </w:sdtContent>
  </w:sdt>
  <w:p w14:paraId="4A9D2D0B" w14:textId="3FA255EC" w:rsidR="006A68F1" w:rsidRDefault="006A68F1" w:rsidP="00764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1C53"/>
    <w:multiLevelType w:val="hybridMultilevel"/>
    <w:tmpl w:val="49C4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51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3F"/>
    <w:rsid w:val="000013E1"/>
    <w:rsid w:val="0000643A"/>
    <w:rsid w:val="00011AAB"/>
    <w:rsid w:val="00013802"/>
    <w:rsid w:val="0001574B"/>
    <w:rsid w:val="00015C50"/>
    <w:rsid w:val="00017AC8"/>
    <w:rsid w:val="00024419"/>
    <w:rsid w:val="000261A1"/>
    <w:rsid w:val="000263BA"/>
    <w:rsid w:val="00030390"/>
    <w:rsid w:val="0003355F"/>
    <w:rsid w:val="00041329"/>
    <w:rsid w:val="00043A68"/>
    <w:rsid w:val="0004437B"/>
    <w:rsid w:val="00051528"/>
    <w:rsid w:val="00052037"/>
    <w:rsid w:val="00053601"/>
    <w:rsid w:val="0005513D"/>
    <w:rsid w:val="000605CF"/>
    <w:rsid w:val="00061659"/>
    <w:rsid w:val="0006504B"/>
    <w:rsid w:val="00065AAE"/>
    <w:rsid w:val="00072DF3"/>
    <w:rsid w:val="0009686C"/>
    <w:rsid w:val="000A03B9"/>
    <w:rsid w:val="000B2E89"/>
    <w:rsid w:val="000B4114"/>
    <w:rsid w:val="000B6C54"/>
    <w:rsid w:val="000B7171"/>
    <w:rsid w:val="000B7D80"/>
    <w:rsid w:val="000C6E86"/>
    <w:rsid w:val="000C7406"/>
    <w:rsid w:val="000C76F1"/>
    <w:rsid w:val="000C7B3A"/>
    <w:rsid w:val="000D0AE4"/>
    <w:rsid w:val="000D0C83"/>
    <w:rsid w:val="000D36D5"/>
    <w:rsid w:val="000D7DBF"/>
    <w:rsid w:val="000E6787"/>
    <w:rsid w:val="000E7ACA"/>
    <w:rsid w:val="000F3881"/>
    <w:rsid w:val="00103942"/>
    <w:rsid w:val="0011102D"/>
    <w:rsid w:val="0011183D"/>
    <w:rsid w:val="001118CD"/>
    <w:rsid w:val="00111E06"/>
    <w:rsid w:val="00112ABD"/>
    <w:rsid w:val="00113A2B"/>
    <w:rsid w:val="001158C8"/>
    <w:rsid w:val="00117DDE"/>
    <w:rsid w:val="0012081C"/>
    <w:rsid w:val="00120CFB"/>
    <w:rsid w:val="00121329"/>
    <w:rsid w:val="00122E21"/>
    <w:rsid w:val="0012404E"/>
    <w:rsid w:val="00124CAD"/>
    <w:rsid w:val="00130D75"/>
    <w:rsid w:val="00132368"/>
    <w:rsid w:val="001332AF"/>
    <w:rsid w:val="00137106"/>
    <w:rsid w:val="001373CE"/>
    <w:rsid w:val="00145676"/>
    <w:rsid w:val="00150A56"/>
    <w:rsid w:val="00153F12"/>
    <w:rsid w:val="00154E63"/>
    <w:rsid w:val="00162A1D"/>
    <w:rsid w:val="00163C9A"/>
    <w:rsid w:val="00163F0C"/>
    <w:rsid w:val="001641A2"/>
    <w:rsid w:val="00165A71"/>
    <w:rsid w:val="001666CB"/>
    <w:rsid w:val="00174330"/>
    <w:rsid w:val="001744EE"/>
    <w:rsid w:val="00175139"/>
    <w:rsid w:val="00180282"/>
    <w:rsid w:val="00181835"/>
    <w:rsid w:val="00181DB4"/>
    <w:rsid w:val="00182420"/>
    <w:rsid w:val="00183B83"/>
    <w:rsid w:val="00183C0F"/>
    <w:rsid w:val="00186951"/>
    <w:rsid w:val="0019093F"/>
    <w:rsid w:val="00191839"/>
    <w:rsid w:val="001945FC"/>
    <w:rsid w:val="001A0512"/>
    <w:rsid w:val="001A6AB6"/>
    <w:rsid w:val="001A6B96"/>
    <w:rsid w:val="001A743F"/>
    <w:rsid w:val="001A798B"/>
    <w:rsid w:val="001A7F11"/>
    <w:rsid w:val="001B12E6"/>
    <w:rsid w:val="001B147F"/>
    <w:rsid w:val="001B3D30"/>
    <w:rsid w:val="001B403D"/>
    <w:rsid w:val="001B56D5"/>
    <w:rsid w:val="001B670C"/>
    <w:rsid w:val="001C47B7"/>
    <w:rsid w:val="001C5C40"/>
    <w:rsid w:val="001C5DCE"/>
    <w:rsid w:val="001D0097"/>
    <w:rsid w:val="001D0AE5"/>
    <w:rsid w:val="001D1463"/>
    <w:rsid w:val="001D355D"/>
    <w:rsid w:val="001D49F5"/>
    <w:rsid w:val="001E3CF7"/>
    <w:rsid w:val="001E669D"/>
    <w:rsid w:val="001F01D7"/>
    <w:rsid w:val="001F1880"/>
    <w:rsid w:val="001F3056"/>
    <w:rsid w:val="001F522B"/>
    <w:rsid w:val="001F7DF9"/>
    <w:rsid w:val="00201646"/>
    <w:rsid w:val="002022D5"/>
    <w:rsid w:val="00202A16"/>
    <w:rsid w:val="00203D60"/>
    <w:rsid w:val="00204EFC"/>
    <w:rsid w:val="00205254"/>
    <w:rsid w:val="00207618"/>
    <w:rsid w:val="0021065B"/>
    <w:rsid w:val="00213418"/>
    <w:rsid w:val="0021687A"/>
    <w:rsid w:val="00217485"/>
    <w:rsid w:val="002222CD"/>
    <w:rsid w:val="002223AA"/>
    <w:rsid w:val="002256A5"/>
    <w:rsid w:val="0023135F"/>
    <w:rsid w:val="00231DEE"/>
    <w:rsid w:val="0023379E"/>
    <w:rsid w:val="00235676"/>
    <w:rsid w:val="0023611E"/>
    <w:rsid w:val="00236EE5"/>
    <w:rsid w:val="00243EC2"/>
    <w:rsid w:val="002451F6"/>
    <w:rsid w:val="00254B97"/>
    <w:rsid w:val="0025633F"/>
    <w:rsid w:val="00261AE3"/>
    <w:rsid w:val="00261BDA"/>
    <w:rsid w:val="00266773"/>
    <w:rsid w:val="00267EF8"/>
    <w:rsid w:val="00270661"/>
    <w:rsid w:val="00273474"/>
    <w:rsid w:val="00276FB3"/>
    <w:rsid w:val="00284D08"/>
    <w:rsid w:val="00285A03"/>
    <w:rsid w:val="002862E0"/>
    <w:rsid w:val="00291775"/>
    <w:rsid w:val="00292882"/>
    <w:rsid w:val="002943DB"/>
    <w:rsid w:val="002975A1"/>
    <w:rsid w:val="002B6481"/>
    <w:rsid w:val="002B7427"/>
    <w:rsid w:val="002B7D68"/>
    <w:rsid w:val="002B7F8C"/>
    <w:rsid w:val="002C23F3"/>
    <w:rsid w:val="002C2BBD"/>
    <w:rsid w:val="002C32E4"/>
    <w:rsid w:val="002C6F22"/>
    <w:rsid w:val="002D47CF"/>
    <w:rsid w:val="002D569F"/>
    <w:rsid w:val="002D74ED"/>
    <w:rsid w:val="002D7D9D"/>
    <w:rsid w:val="002E2CB6"/>
    <w:rsid w:val="002E33AA"/>
    <w:rsid w:val="002E5095"/>
    <w:rsid w:val="002F05B0"/>
    <w:rsid w:val="002F1AF3"/>
    <w:rsid w:val="002F5600"/>
    <w:rsid w:val="002F5A4F"/>
    <w:rsid w:val="00306AF9"/>
    <w:rsid w:val="0030701E"/>
    <w:rsid w:val="00315C4B"/>
    <w:rsid w:val="00317047"/>
    <w:rsid w:val="00331880"/>
    <w:rsid w:val="00331956"/>
    <w:rsid w:val="00342056"/>
    <w:rsid w:val="00342146"/>
    <w:rsid w:val="0034389A"/>
    <w:rsid w:val="00343F53"/>
    <w:rsid w:val="00345107"/>
    <w:rsid w:val="00351358"/>
    <w:rsid w:val="00354AFE"/>
    <w:rsid w:val="0035712D"/>
    <w:rsid w:val="00366E6A"/>
    <w:rsid w:val="00371064"/>
    <w:rsid w:val="003738B3"/>
    <w:rsid w:val="00374E44"/>
    <w:rsid w:val="0037747C"/>
    <w:rsid w:val="00381E6C"/>
    <w:rsid w:val="00383A8F"/>
    <w:rsid w:val="00392B33"/>
    <w:rsid w:val="00393AEC"/>
    <w:rsid w:val="003974CD"/>
    <w:rsid w:val="003B03FF"/>
    <w:rsid w:val="003B1822"/>
    <w:rsid w:val="003B494D"/>
    <w:rsid w:val="003B65BA"/>
    <w:rsid w:val="003C188A"/>
    <w:rsid w:val="003C2CF4"/>
    <w:rsid w:val="003C4FE6"/>
    <w:rsid w:val="003D1676"/>
    <w:rsid w:val="003D22F3"/>
    <w:rsid w:val="003D270F"/>
    <w:rsid w:val="003D4C62"/>
    <w:rsid w:val="003D55C2"/>
    <w:rsid w:val="003D6733"/>
    <w:rsid w:val="003D722E"/>
    <w:rsid w:val="003E1BEE"/>
    <w:rsid w:val="003E1F4D"/>
    <w:rsid w:val="003F2759"/>
    <w:rsid w:val="003F39CC"/>
    <w:rsid w:val="00400AA7"/>
    <w:rsid w:val="00401071"/>
    <w:rsid w:val="004018BD"/>
    <w:rsid w:val="00404DDF"/>
    <w:rsid w:val="0041504F"/>
    <w:rsid w:val="004154C1"/>
    <w:rsid w:val="0041582B"/>
    <w:rsid w:val="00417608"/>
    <w:rsid w:val="0041777F"/>
    <w:rsid w:val="00425692"/>
    <w:rsid w:val="00427130"/>
    <w:rsid w:val="00430867"/>
    <w:rsid w:val="00431731"/>
    <w:rsid w:val="00431B41"/>
    <w:rsid w:val="004320C0"/>
    <w:rsid w:val="004325F7"/>
    <w:rsid w:val="00435B61"/>
    <w:rsid w:val="00435D60"/>
    <w:rsid w:val="004362AB"/>
    <w:rsid w:val="004372E7"/>
    <w:rsid w:val="0044098D"/>
    <w:rsid w:val="00445D6D"/>
    <w:rsid w:val="00452C74"/>
    <w:rsid w:val="00452FBB"/>
    <w:rsid w:val="00461FD3"/>
    <w:rsid w:val="00463CC4"/>
    <w:rsid w:val="00466D80"/>
    <w:rsid w:val="00466DBB"/>
    <w:rsid w:val="00466FAE"/>
    <w:rsid w:val="004678A6"/>
    <w:rsid w:val="004703D3"/>
    <w:rsid w:val="00472A64"/>
    <w:rsid w:val="00473798"/>
    <w:rsid w:val="00475903"/>
    <w:rsid w:val="00477BFF"/>
    <w:rsid w:val="00481F5F"/>
    <w:rsid w:val="004927A5"/>
    <w:rsid w:val="0049446C"/>
    <w:rsid w:val="0049604B"/>
    <w:rsid w:val="00497A0A"/>
    <w:rsid w:val="004A0BD2"/>
    <w:rsid w:val="004A2AD6"/>
    <w:rsid w:val="004A7505"/>
    <w:rsid w:val="004A77F3"/>
    <w:rsid w:val="004B5C00"/>
    <w:rsid w:val="004B651C"/>
    <w:rsid w:val="004C3EDB"/>
    <w:rsid w:val="004C67E6"/>
    <w:rsid w:val="004C77F2"/>
    <w:rsid w:val="004D0267"/>
    <w:rsid w:val="004D379D"/>
    <w:rsid w:val="004D5992"/>
    <w:rsid w:val="004D682E"/>
    <w:rsid w:val="004E0767"/>
    <w:rsid w:val="004E08E5"/>
    <w:rsid w:val="004E12CC"/>
    <w:rsid w:val="004E276E"/>
    <w:rsid w:val="004E38C5"/>
    <w:rsid w:val="004E53C7"/>
    <w:rsid w:val="004E5469"/>
    <w:rsid w:val="004F1689"/>
    <w:rsid w:val="004F2DCE"/>
    <w:rsid w:val="00502410"/>
    <w:rsid w:val="00505063"/>
    <w:rsid w:val="00506C7E"/>
    <w:rsid w:val="00511D5E"/>
    <w:rsid w:val="005138A9"/>
    <w:rsid w:val="0051778E"/>
    <w:rsid w:val="00523D55"/>
    <w:rsid w:val="00524452"/>
    <w:rsid w:val="00525991"/>
    <w:rsid w:val="00534022"/>
    <w:rsid w:val="00535168"/>
    <w:rsid w:val="0053693F"/>
    <w:rsid w:val="00541FB5"/>
    <w:rsid w:val="00545315"/>
    <w:rsid w:val="005459B5"/>
    <w:rsid w:val="00547AF8"/>
    <w:rsid w:val="00552CD6"/>
    <w:rsid w:val="005640B1"/>
    <w:rsid w:val="00570B93"/>
    <w:rsid w:val="0057468F"/>
    <w:rsid w:val="00581212"/>
    <w:rsid w:val="00582A96"/>
    <w:rsid w:val="00590D1A"/>
    <w:rsid w:val="005925EC"/>
    <w:rsid w:val="00597998"/>
    <w:rsid w:val="005A56E9"/>
    <w:rsid w:val="005B00A6"/>
    <w:rsid w:val="005B19FA"/>
    <w:rsid w:val="005B34F6"/>
    <w:rsid w:val="005B6DEF"/>
    <w:rsid w:val="005C06C2"/>
    <w:rsid w:val="005C70E9"/>
    <w:rsid w:val="005C78B9"/>
    <w:rsid w:val="005D4091"/>
    <w:rsid w:val="005D591C"/>
    <w:rsid w:val="005E0D4B"/>
    <w:rsid w:val="005E19ED"/>
    <w:rsid w:val="005E41A9"/>
    <w:rsid w:val="005F2D98"/>
    <w:rsid w:val="005F5BBE"/>
    <w:rsid w:val="005F72CC"/>
    <w:rsid w:val="00604978"/>
    <w:rsid w:val="00607376"/>
    <w:rsid w:val="00611411"/>
    <w:rsid w:val="00611900"/>
    <w:rsid w:val="00612B6D"/>
    <w:rsid w:val="0061383B"/>
    <w:rsid w:val="00614EE5"/>
    <w:rsid w:val="006168D3"/>
    <w:rsid w:val="006227BE"/>
    <w:rsid w:val="00623A2E"/>
    <w:rsid w:val="006255C2"/>
    <w:rsid w:val="00630421"/>
    <w:rsid w:val="00631031"/>
    <w:rsid w:val="00631277"/>
    <w:rsid w:val="00634DAB"/>
    <w:rsid w:val="00642C12"/>
    <w:rsid w:val="0065111C"/>
    <w:rsid w:val="0065356F"/>
    <w:rsid w:val="00655827"/>
    <w:rsid w:val="00661F97"/>
    <w:rsid w:val="00663D80"/>
    <w:rsid w:val="0066484B"/>
    <w:rsid w:val="0066510F"/>
    <w:rsid w:val="00667D61"/>
    <w:rsid w:val="00672F02"/>
    <w:rsid w:val="00675AD2"/>
    <w:rsid w:val="00681394"/>
    <w:rsid w:val="006826C9"/>
    <w:rsid w:val="00686DC6"/>
    <w:rsid w:val="00686FC5"/>
    <w:rsid w:val="006902E0"/>
    <w:rsid w:val="006A29DF"/>
    <w:rsid w:val="006A5638"/>
    <w:rsid w:val="006A68F1"/>
    <w:rsid w:val="006B172D"/>
    <w:rsid w:val="006B226D"/>
    <w:rsid w:val="006B4535"/>
    <w:rsid w:val="006B4FCD"/>
    <w:rsid w:val="006B5703"/>
    <w:rsid w:val="006B70F0"/>
    <w:rsid w:val="006B7E1A"/>
    <w:rsid w:val="006C59DB"/>
    <w:rsid w:val="006D4722"/>
    <w:rsid w:val="006D4F8E"/>
    <w:rsid w:val="006E1339"/>
    <w:rsid w:val="006E14FE"/>
    <w:rsid w:val="006E4AD2"/>
    <w:rsid w:val="006E74CC"/>
    <w:rsid w:val="006E7F60"/>
    <w:rsid w:val="006F010B"/>
    <w:rsid w:val="006F2576"/>
    <w:rsid w:val="006F3C5D"/>
    <w:rsid w:val="006F410E"/>
    <w:rsid w:val="006F49D7"/>
    <w:rsid w:val="006F4D50"/>
    <w:rsid w:val="006F718F"/>
    <w:rsid w:val="006F7974"/>
    <w:rsid w:val="007004AF"/>
    <w:rsid w:val="0070345F"/>
    <w:rsid w:val="00705371"/>
    <w:rsid w:val="0070641E"/>
    <w:rsid w:val="00707B7A"/>
    <w:rsid w:val="00707F16"/>
    <w:rsid w:val="00710100"/>
    <w:rsid w:val="00711E3E"/>
    <w:rsid w:val="00715196"/>
    <w:rsid w:val="0072335F"/>
    <w:rsid w:val="00725DCF"/>
    <w:rsid w:val="007334AF"/>
    <w:rsid w:val="00733520"/>
    <w:rsid w:val="007340ED"/>
    <w:rsid w:val="0073449F"/>
    <w:rsid w:val="007435E5"/>
    <w:rsid w:val="0074463A"/>
    <w:rsid w:val="00744AC4"/>
    <w:rsid w:val="00744D0F"/>
    <w:rsid w:val="00746791"/>
    <w:rsid w:val="007472BA"/>
    <w:rsid w:val="00751745"/>
    <w:rsid w:val="007519CC"/>
    <w:rsid w:val="00752D9E"/>
    <w:rsid w:val="00760286"/>
    <w:rsid w:val="00762844"/>
    <w:rsid w:val="00763267"/>
    <w:rsid w:val="00764234"/>
    <w:rsid w:val="007654B1"/>
    <w:rsid w:val="00767C80"/>
    <w:rsid w:val="00771AD0"/>
    <w:rsid w:val="00771DB6"/>
    <w:rsid w:val="00771FDE"/>
    <w:rsid w:val="007741F4"/>
    <w:rsid w:val="0077520A"/>
    <w:rsid w:val="00783554"/>
    <w:rsid w:val="00784444"/>
    <w:rsid w:val="00790422"/>
    <w:rsid w:val="00791FB4"/>
    <w:rsid w:val="00795BB6"/>
    <w:rsid w:val="007A1200"/>
    <w:rsid w:val="007A3796"/>
    <w:rsid w:val="007A42BB"/>
    <w:rsid w:val="007B1D96"/>
    <w:rsid w:val="007B32D0"/>
    <w:rsid w:val="007B5CD4"/>
    <w:rsid w:val="007B7BD3"/>
    <w:rsid w:val="007B7E34"/>
    <w:rsid w:val="007C0CC2"/>
    <w:rsid w:val="007C1122"/>
    <w:rsid w:val="007C5381"/>
    <w:rsid w:val="007D038B"/>
    <w:rsid w:val="007D0BA8"/>
    <w:rsid w:val="007D1169"/>
    <w:rsid w:val="007D3E8D"/>
    <w:rsid w:val="007D4531"/>
    <w:rsid w:val="007D5FE4"/>
    <w:rsid w:val="007D70E6"/>
    <w:rsid w:val="007D74F5"/>
    <w:rsid w:val="007D7ADC"/>
    <w:rsid w:val="007E65DF"/>
    <w:rsid w:val="007F2123"/>
    <w:rsid w:val="00801D84"/>
    <w:rsid w:val="008048DE"/>
    <w:rsid w:val="00806B7E"/>
    <w:rsid w:val="00810A19"/>
    <w:rsid w:val="00810D14"/>
    <w:rsid w:val="0081254D"/>
    <w:rsid w:val="00812856"/>
    <w:rsid w:val="008305A9"/>
    <w:rsid w:val="00833AE4"/>
    <w:rsid w:val="00840FD9"/>
    <w:rsid w:val="008413EB"/>
    <w:rsid w:val="008428A9"/>
    <w:rsid w:val="008435E4"/>
    <w:rsid w:val="00843A6B"/>
    <w:rsid w:val="0085087E"/>
    <w:rsid w:val="00852313"/>
    <w:rsid w:val="008531F6"/>
    <w:rsid w:val="0085380C"/>
    <w:rsid w:val="0085553B"/>
    <w:rsid w:val="00857537"/>
    <w:rsid w:val="008602D2"/>
    <w:rsid w:val="008659A1"/>
    <w:rsid w:val="00865CE6"/>
    <w:rsid w:val="008672A4"/>
    <w:rsid w:val="00867D41"/>
    <w:rsid w:val="00867E18"/>
    <w:rsid w:val="00870C10"/>
    <w:rsid w:val="0087146D"/>
    <w:rsid w:val="00872127"/>
    <w:rsid w:val="008831D7"/>
    <w:rsid w:val="00883481"/>
    <w:rsid w:val="008834E2"/>
    <w:rsid w:val="0088477A"/>
    <w:rsid w:val="008872DE"/>
    <w:rsid w:val="008919DC"/>
    <w:rsid w:val="0089241A"/>
    <w:rsid w:val="00892FE8"/>
    <w:rsid w:val="008A1281"/>
    <w:rsid w:val="008A38B5"/>
    <w:rsid w:val="008A3F3B"/>
    <w:rsid w:val="008A4562"/>
    <w:rsid w:val="008A7B2E"/>
    <w:rsid w:val="008B14A3"/>
    <w:rsid w:val="008B14C0"/>
    <w:rsid w:val="008B35C0"/>
    <w:rsid w:val="008B598D"/>
    <w:rsid w:val="008C14AF"/>
    <w:rsid w:val="008C36F7"/>
    <w:rsid w:val="008D0CD3"/>
    <w:rsid w:val="008D1907"/>
    <w:rsid w:val="008D19C2"/>
    <w:rsid w:val="008D5575"/>
    <w:rsid w:val="008D718A"/>
    <w:rsid w:val="008E53EB"/>
    <w:rsid w:val="008F3397"/>
    <w:rsid w:val="00900EBF"/>
    <w:rsid w:val="00901461"/>
    <w:rsid w:val="00902BEE"/>
    <w:rsid w:val="00904485"/>
    <w:rsid w:val="009058D5"/>
    <w:rsid w:val="009063E5"/>
    <w:rsid w:val="00906E9A"/>
    <w:rsid w:val="009105E8"/>
    <w:rsid w:val="00914DBC"/>
    <w:rsid w:val="0091599C"/>
    <w:rsid w:val="0091686E"/>
    <w:rsid w:val="00917DC9"/>
    <w:rsid w:val="0092439A"/>
    <w:rsid w:val="0092452F"/>
    <w:rsid w:val="00926299"/>
    <w:rsid w:val="009273EE"/>
    <w:rsid w:val="00931673"/>
    <w:rsid w:val="00932E06"/>
    <w:rsid w:val="00936AF8"/>
    <w:rsid w:val="009411E9"/>
    <w:rsid w:val="00945432"/>
    <w:rsid w:val="00945C1E"/>
    <w:rsid w:val="00946D66"/>
    <w:rsid w:val="0095143F"/>
    <w:rsid w:val="009515FA"/>
    <w:rsid w:val="00952171"/>
    <w:rsid w:val="00955348"/>
    <w:rsid w:val="00956CC7"/>
    <w:rsid w:val="0096191F"/>
    <w:rsid w:val="009665CD"/>
    <w:rsid w:val="00970D89"/>
    <w:rsid w:val="009813DA"/>
    <w:rsid w:val="00984566"/>
    <w:rsid w:val="00984CB3"/>
    <w:rsid w:val="00984E77"/>
    <w:rsid w:val="009906E7"/>
    <w:rsid w:val="00990B09"/>
    <w:rsid w:val="0099144F"/>
    <w:rsid w:val="00994354"/>
    <w:rsid w:val="00995D77"/>
    <w:rsid w:val="00996901"/>
    <w:rsid w:val="009A0E78"/>
    <w:rsid w:val="009A17FD"/>
    <w:rsid w:val="009A1F1B"/>
    <w:rsid w:val="009A73AF"/>
    <w:rsid w:val="009A7AE5"/>
    <w:rsid w:val="009B0738"/>
    <w:rsid w:val="009B1689"/>
    <w:rsid w:val="009B1FC2"/>
    <w:rsid w:val="009C0120"/>
    <w:rsid w:val="009C4622"/>
    <w:rsid w:val="009C473E"/>
    <w:rsid w:val="009D1A97"/>
    <w:rsid w:val="009D1EB5"/>
    <w:rsid w:val="009D2BDF"/>
    <w:rsid w:val="009D7AC3"/>
    <w:rsid w:val="009E59C7"/>
    <w:rsid w:val="009E628D"/>
    <w:rsid w:val="009E7521"/>
    <w:rsid w:val="009F14C6"/>
    <w:rsid w:val="009F3C33"/>
    <w:rsid w:val="009F45C8"/>
    <w:rsid w:val="009F483C"/>
    <w:rsid w:val="009F5120"/>
    <w:rsid w:val="009F6C2B"/>
    <w:rsid w:val="00A01BC3"/>
    <w:rsid w:val="00A0409A"/>
    <w:rsid w:val="00A12712"/>
    <w:rsid w:val="00A13401"/>
    <w:rsid w:val="00A14F89"/>
    <w:rsid w:val="00A21545"/>
    <w:rsid w:val="00A217D4"/>
    <w:rsid w:val="00A221F4"/>
    <w:rsid w:val="00A24EB5"/>
    <w:rsid w:val="00A319A0"/>
    <w:rsid w:val="00A33CBC"/>
    <w:rsid w:val="00A3425C"/>
    <w:rsid w:val="00A407CD"/>
    <w:rsid w:val="00A5237B"/>
    <w:rsid w:val="00A560B2"/>
    <w:rsid w:val="00A57D99"/>
    <w:rsid w:val="00A626BC"/>
    <w:rsid w:val="00A64AFD"/>
    <w:rsid w:val="00A6535D"/>
    <w:rsid w:val="00A71340"/>
    <w:rsid w:val="00A75BF5"/>
    <w:rsid w:val="00A806D3"/>
    <w:rsid w:val="00A8126F"/>
    <w:rsid w:val="00A835F1"/>
    <w:rsid w:val="00A861A1"/>
    <w:rsid w:val="00A86FE9"/>
    <w:rsid w:val="00A8773F"/>
    <w:rsid w:val="00A87D88"/>
    <w:rsid w:val="00AA089B"/>
    <w:rsid w:val="00AA255D"/>
    <w:rsid w:val="00AA3022"/>
    <w:rsid w:val="00AA6037"/>
    <w:rsid w:val="00AB38B3"/>
    <w:rsid w:val="00AB4C3B"/>
    <w:rsid w:val="00AB7334"/>
    <w:rsid w:val="00AB7BF1"/>
    <w:rsid w:val="00AB7C7C"/>
    <w:rsid w:val="00AC2EA2"/>
    <w:rsid w:val="00AC50DF"/>
    <w:rsid w:val="00AC7414"/>
    <w:rsid w:val="00AD499C"/>
    <w:rsid w:val="00AD519A"/>
    <w:rsid w:val="00AE3C60"/>
    <w:rsid w:val="00AF0204"/>
    <w:rsid w:val="00AF178A"/>
    <w:rsid w:val="00AF232E"/>
    <w:rsid w:val="00AF3EDB"/>
    <w:rsid w:val="00AF7B38"/>
    <w:rsid w:val="00B01F0F"/>
    <w:rsid w:val="00B0217F"/>
    <w:rsid w:val="00B0336A"/>
    <w:rsid w:val="00B07491"/>
    <w:rsid w:val="00B11851"/>
    <w:rsid w:val="00B12958"/>
    <w:rsid w:val="00B166D0"/>
    <w:rsid w:val="00B16DC4"/>
    <w:rsid w:val="00B1733D"/>
    <w:rsid w:val="00B22D6F"/>
    <w:rsid w:val="00B25766"/>
    <w:rsid w:val="00B25D8B"/>
    <w:rsid w:val="00B260B4"/>
    <w:rsid w:val="00B31ECE"/>
    <w:rsid w:val="00B32D3A"/>
    <w:rsid w:val="00B33B4A"/>
    <w:rsid w:val="00B355AD"/>
    <w:rsid w:val="00B36FA0"/>
    <w:rsid w:val="00B41C65"/>
    <w:rsid w:val="00B45003"/>
    <w:rsid w:val="00B46632"/>
    <w:rsid w:val="00B511C1"/>
    <w:rsid w:val="00B538A6"/>
    <w:rsid w:val="00B560C8"/>
    <w:rsid w:val="00B6014E"/>
    <w:rsid w:val="00B64372"/>
    <w:rsid w:val="00B663F2"/>
    <w:rsid w:val="00B66622"/>
    <w:rsid w:val="00B66D54"/>
    <w:rsid w:val="00B675AD"/>
    <w:rsid w:val="00B716E6"/>
    <w:rsid w:val="00B73DB6"/>
    <w:rsid w:val="00B75E04"/>
    <w:rsid w:val="00B75E9D"/>
    <w:rsid w:val="00B776C3"/>
    <w:rsid w:val="00B8078F"/>
    <w:rsid w:val="00B80A28"/>
    <w:rsid w:val="00B8411A"/>
    <w:rsid w:val="00B84155"/>
    <w:rsid w:val="00B86A14"/>
    <w:rsid w:val="00B86BF2"/>
    <w:rsid w:val="00B87978"/>
    <w:rsid w:val="00B90163"/>
    <w:rsid w:val="00B96E97"/>
    <w:rsid w:val="00B97D9E"/>
    <w:rsid w:val="00BA27EF"/>
    <w:rsid w:val="00BA6C7F"/>
    <w:rsid w:val="00BB171E"/>
    <w:rsid w:val="00BB1B72"/>
    <w:rsid w:val="00BB3295"/>
    <w:rsid w:val="00BB4F85"/>
    <w:rsid w:val="00BB7040"/>
    <w:rsid w:val="00BC0AA5"/>
    <w:rsid w:val="00BC3495"/>
    <w:rsid w:val="00BC66DB"/>
    <w:rsid w:val="00BD3B70"/>
    <w:rsid w:val="00BD42F6"/>
    <w:rsid w:val="00BD790E"/>
    <w:rsid w:val="00BD7E77"/>
    <w:rsid w:val="00BE0454"/>
    <w:rsid w:val="00BE0D88"/>
    <w:rsid w:val="00BE1497"/>
    <w:rsid w:val="00BE1BBD"/>
    <w:rsid w:val="00BF14FA"/>
    <w:rsid w:val="00BF288C"/>
    <w:rsid w:val="00BF4912"/>
    <w:rsid w:val="00BF4F59"/>
    <w:rsid w:val="00BF521F"/>
    <w:rsid w:val="00BF62F7"/>
    <w:rsid w:val="00C06EEA"/>
    <w:rsid w:val="00C0788E"/>
    <w:rsid w:val="00C12D0D"/>
    <w:rsid w:val="00C1411A"/>
    <w:rsid w:val="00C15A7E"/>
    <w:rsid w:val="00C225C0"/>
    <w:rsid w:val="00C229FC"/>
    <w:rsid w:val="00C22E93"/>
    <w:rsid w:val="00C23498"/>
    <w:rsid w:val="00C25224"/>
    <w:rsid w:val="00C259EE"/>
    <w:rsid w:val="00C26D78"/>
    <w:rsid w:val="00C3136B"/>
    <w:rsid w:val="00C32DEB"/>
    <w:rsid w:val="00C32F61"/>
    <w:rsid w:val="00C35DB8"/>
    <w:rsid w:val="00C422D7"/>
    <w:rsid w:val="00C430D2"/>
    <w:rsid w:val="00C443F4"/>
    <w:rsid w:val="00C47367"/>
    <w:rsid w:val="00C521A2"/>
    <w:rsid w:val="00C536B8"/>
    <w:rsid w:val="00C565C6"/>
    <w:rsid w:val="00C60CCF"/>
    <w:rsid w:val="00C628E8"/>
    <w:rsid w:val="00C67C19"/>
    <w:rsid w:val="00C72C59"/>
    <w:rsid w:val="00C75C17"/>
    <w:rsid w:val="00C84A58"/>
    <w:rsid w:val="00C86C6B"/>
    <w:rsid w:val="00C901D1"/>
    <w:rsid w:val="00C92517"/>
    <w:rsid w:val="00C95D46"/>
    <w:rsid w:val="00C96D53"/>
    <w:rsid w:val="00CA066C"/>
    <w:rsid w:val="00CA1B40"/>
    <w:rsid w:val="00CA2FD9"/>
    <w:rsid w:val="00CA31B4"/>
    <w:rsid w:val="00CA382D"/>
    <w:rsid w:val="00CA45C3"/>
    <w:rsid w:val="00CB38F9"/>
    <w:rsid w:val="00CB5122"/>
    <w:rsid w:val="00CB75F5"/>
    <w:rsid w:val="00CC190D"/>
    <w:rsid w:val="00CC4076"/>
    <w:rsid w:val="00CC52DD"/>
    <w:rsid w:val="00CC5387"/>
    <w:rsid w:val="00CC7A99"/>
    <w:rsid w:val="00CD0F10"/>
    <w:rsid w:val="00CD1DFB"/>
    <w:rsid w:val="00CD435B"/>
    <w:rsid w:val="00CD5187"/>
    <w:rsid w:val="00CD5FBF"/>
    <w:rsid w:val="00CD66C1"/>
    <w:rsid w:val="00CE0454"/>
    <w:rsid w:val="00CE11F5"/>
    <w:rsid w:val="00CE33F5"/>
    <w:rsid w:val="00CE409D"/>
    <w:rsid w:val="00CE7544"/>
    <w:rsid w:val="00CE7BDC"/>
    <w:rsid w:val="00CF2FDE"/>
    <w:rsid w:val="00D01F37"/>
    <w:rsid w:val="00D06D0A"/>
    <w:rsid w:val="00D077A3"/>
    <w:rsid w:val="00D100F9"/>
    <w:rsid w:val="00D13E43"/>
    <w:rsid w:val="00D17776"/>
    <w:rsid w:val="00D20D04"/>
    <w:rsid w:val="00D21D58"/>
    <w:rsid w:val="00D2531F"/>
    <w:rsid w:val="00D25B8E"/>
    <w:rsid w:val="00D27AB1"/>
    <w:rsid w:val="00D345DE"/>
    <w:rsid w:val="00D4171C"/>
    <w:rsid w:val="00D47E88"/>
    <w:rsid w:val="00D527F2"/>
    <w:rsid w:val="00D56D7B"/>
    <w:rsid w:val="00D61F8A"/>
    <w:rsid w:val="00D672A0"/>
    <w:rsid w:val="00D746B4"/>
    <w:rsid w:val="00D77862"/>
    <w:rsid w:val="00D8105F"/>
    <w:rsid w:val="00D85DE1"/>
    <w:rsid w:val="00D86894"/>
    <w:rsid w:val="00D905DE"/>
    <w:rsid w:val="00DA0346"/>
    <w:rsid w:val="00DB2545"/>
    <w:rsid w:val="00DB60E6"/>
    <w:rsid w:val="00DC0CD0"/>
    <w:rsid w:val="00DC16C4"/>
    <w:rsid w:val="00DC48DB"/>
    <w:rsid w:val="00DC6BE5"/>
    <w:rsid w:val="00DC6C21"/>
    <w:rsid w:val="00DD45E0"/>
    <w:rsid w:val="00DE1EC8"/>
    <w:rsid w:val="00DE51B6"/>
    <w:rsid w:val="00DF3D12"/>
    <w:rsid w:val="00DF3E60"/>
    <w:rsid w:val="00DF4DF0"/>
    <w:rsid w:val="00DF7020"/>
    <w:rsid w:val="00DF7EBA"/>
    <w:rsid w:val="00E01C69"/>
    <w:rsid w:val="00E01DC5"/>
    <w:rsid w:val="00E02042"/>
    <w:rsid w:val="00E06E26"/>
    <w:rsid w:val="00E1056F"/>
    <w:rsid w:val="00E1406A"/>
    <w:rsid w:val="00E149E2"/>
    <w:rsid w:val="00E1644E"/>
    <w:rsid w:val="00E16E52"/>
    <w:rsid w:val="00E203EE"/>
    <w:rsid w:val="00E22829"/>
    <w:rsid w:val="00E22F8D"/>
    <w:rsid w:val="00E23617"/>
    <w:rsid w:val="00E3213A"/>
    <w:rsid w:val="00E34F4A"/>
    <w:rsid w:val="00E374FB"/>
    <w:rsid w:val="00E426D8"/>
    <w:rsid w:val="00E4341A"/>
    <w:rsid w:val="00E50EE1"/>
    <w:rsid w:val="00E51D76"/>
    <w:rsid w:val="00E55C1E"/>
    <w:rsid w:val="00E5633B"/>
    <w:rsid w:val="00E568E7"/>
    <w:rsid w:val="00E56A75"/>
    <w:rsid w:val="00E56E2E"/>
    <w:rsid w:val="00E62814"/>
    <w:rsid w:val="00E63ED8"/>
    <w:rsid w:val="00E651FE"/>
    <w:rsid w:val="00E70869"/>
    <w:rsid w:val="00E73349"/>
    <w:rsid w:val="00E74D94"/>
    <w:rsid w:val="00E76172"/>
    <w:rsid w:val="00E80A85"/>
    <w:rsid w:val="00E80AAE"/>
    <w:rsid w:val="00E85180"/>
    <w:rsid w:val="00E8693D"/>
    <w:rsid w:val="00E87032"/>
    <w:rsid w:val="00E911D0"/>
    <w:rsid w:val="00E923B2"/>
    <w:rsid w:val="00E95FE7"/>
    <w:rsid w:val="00EA01EC"/>
    <w:rsid w:val="00EA2D37"/>
    <w:rsid w:val="00EA2D92"/>
    <w:rsid w:val="00EA3B53"/>
    <w:rsid w:val="00EA76CC"/>
    <w:rsid w:val="00EB171A"/>
    <w:rsid w:val="00EB258B"/>
    <w:rsid w:val="00EB45EE"/>
    <w:rsid w:val="00EB4AE3"/>
    <w:rsid w:val="00EB4AE5"/>
    <w:rsid w:val="00EB4F7F"/>
    <w:rsid w:val="00EB55A8"/>
    <w:rsid w:val="00EB577A"/>
    <w:rsid w:val="00EC19F4"/>
    <w:rsid w:val="00EC66A6"/>
    <w:rsid w:val="00EC7D67"/>
    <w:rsid w:val="00ED48D9"/>
    <w:rsid w:val="00EE016E"/>
    <w:rsid w:val="00EF1043"/>
    <w:rsid w:val="00EF1110"/>
    <w:rsid w:val="00EF6EC6"/>
    <w:rsid w:val="00F0010F"/>
    <w:rsid w:val="00F00A32"/>
    <w:rsid w:val="00F06A66"/>
    <w:rsid w:val="00F13F4F"/>
    <w:rsid w:val="00F22F34"/>
    <w:rsid w:val="00F2357A"/>
    <w:rsid w:val="00F253B0"/>
    <w:rsid w:val="00F253F7"/>
    <w:rsid w:val="00F2634B"/>
    <w:rsid w:val="00F2723F"/>
    <w:rsid w:val="00F30A15"/>
    <w:rsid w:val="00F30CC2"/>
    <w:rsid w:val="00F36537"/>
    <w:rsid w:val="00F441F8"/>
    <w:rsid w:val="00F46435"/>
    <w:rsid w:val="00F47D94"/>
    <w:rsid w:val="00F50C88"/>
    <w:rsid w:val="00F50CA6"/>
    <w:rsid w:val="00F55C74"/>
    <w:rsid w:val="00F56918"/>
    <w:rsid w:val="00F61C3E"/>
    <w:rsid w:val="00F6389E"/>
    <w:rsid w:val="00F65167"/>
    <w:rsid w:val="00F6669D"/>
    <w:rsid w:val="00F677D5"/>
    <w:rsid w:val="00F703EC"/>
    <w:rsid w:val="00F73E27"/>
    <w:rsid w:val="00F75D1E"/>
    <w:rsid w:val="00F83874"/>
    <w:rsid w:val="00F8606C"/>
    <w:rsid w:val="00F86176"/>
    <w:rsid w:val="00F86308"/>
    <w:rsid w:val="00F916CF"/>
    <w:rsid w:val="00F920CF"/>
    <w:rsid w:val="00F926A8"/>
    <w:rsid w:val="00F96B07"/>
    <w:rsid w:val="00F97AED"/>
    <w:rsid w:val="00FA53F8"/>
    <w:rsid w:val="00FB58CB"/>
    <w:rsid w:val="00FB5C52"/>
    <w:rsid w:val="00FB5DF4"/>
    <w:rsid w:val="00FC1A10"/>
    <w:rsid w:val="00FC58D5"/>
    <w:rsid w:val="00FC7A9D"/>
    <w:rsid w:val="00FD03BB"/>
    <w:rsid w:val="00FD2436"/>
    <w:rsid w:val="00FD2934"/>
    <w:rsid w:val="00FD3123"/>
    <w:rsid w:val="00FD4C3E"/>
    <w:rsid w:val="00FD596F"/>
    <w:rsid w:val="00FD5EC7"/>
    <w:rsid w:val="00FE0777"/>
    <w:rsid w:val="00FE1AD4"/>
    <w:rsid w:val="00FE4BD9"/>
    <w:rsid w:val="00FE5FBE"/>
    <w:rsid w:val="00FE606C"/>
    <w:rsid w:val="00FF1161"/>
    <w:rsid w:val="00FF18C3"/>
    <w:rsid w:val="00FF32B4"/>
    <w:rsid w:val="00FF3F82"/>
    <w:rsid w:val="00FF4549"/>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36FF7"/>
  <w15:chartTrackingRefBased/>
  <w15:docId w15:val="{DEF29FC3-80F2-41AE-891E-65F08BE5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34"/>
    <w:pPr>
      <w:spacing w:line="480" w:lineRule="auto"/>
    </w:pPr>
  </w:style>
  <w:style w:type="paragraph" w:styleId="Heading1">
    <w:name w:val="heading 1"/>
    <w:basedOn w:val="Normal"/>
    <w:next w:val="Normal"/>
    <w:link w:val="Heading1Char"/>
    <w:uiPriority w:val="9"/>
    <w:qFormat/>
    <w:rsid w:val="008672A4"/>
    <w:pPr>
      <w:jc w:val="center"/>
      <w:outlineLvl w:val="0"/>
    </w:pPr>
    <w:rPr>
      <w:b/>
    </w:rPr>
  </w:style>
  <w:style w:type="paragraph" w:styleId="Heading2">
    <w:name w:val="heading 2"/>
    <w:basedOn w:val="Normal"/>
    <w:next w:val="Normal"/>
    <w:link w:val="Heading2Char"/>
    <w:uiPriority w:val="9"/>
    <w:unhideWhenUsed/>
    <w:qFormat/>
    <w:rsid w:val="008672A4"/>
    <w:pPr>
      <w:outlineLvl w:val="1"/>
    </w:pPr>
    <w:rPr>
      <w:b/>
    </w:rPr>
  </w:style>
  <w:style w:type="paragraph" w:styleId="Heading3">
    <w:name w:val="heading 3"/>
    <w:basedOn w:val="Normal"/>
    <w:next w:val="Normal"/>
    <w:link w:val="Heading3Char"/>
    <w:uiPriority w:val="9"/>
    <w:unhideWhenUsed/>
    <w:qFormat/>
    <w:rsid w:val="008672A4"/>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3F"/>
  </w:style>
  <w:style w:type="paragraph" w:styleId="Footer">
    <w:name w:val="footer"/>
    <w:basedOn w:val="Normal"/>
    <w:link w:val="FooterChar"/>
    <w:uiPriority w:val="99"/>
    <w:unhideWhenUsed/>
    <w:rsid w:val="0053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3F"/>
  </w:style>
  <w:style w:type="character" w:styleId="Hyperlink">
    <w:name w:val="Hyperlink"/>
    <w:basedOn w:val="DefaultParagraphFont"/>
    <w:uiPriority w:val="99"/>
    <w:unhideWhenUsed/>
    <w:rsid w:val="0053693F"/>
    <w:rPr>
      <w:color w:val="0563C1" w:themeColor="hyperlink"/>
      <w:u w:val="single"/>
    </w:rPr>
  </w:style>
  <w:style w:type="character" w:styleId="CommentReference">
    <w:name w:val="annotation reference"/>
    <w:basedOn w:val="DefaultParagraphFont"/>
    <w:uiPriority w:val="99"/>
    <w:semiHidden/>
    <w:unhideWhenUsed/>
    <w:rsid w:val="00181835"/>
    <w:rPr>
      <w:sz w:val="16"/>
      <w:szCs w:val="16"/>
    </w:rPr>
  </w:style>
  <w:style w:type="paragraph" w:styleId="CommentText">
    <w:name w:val="annotation text"/>
    <w:basedOn w:val="Normal"/>
    <w:link w:val="CommentTextChar"/>
    <w:uiPriority w:val="99"/>
    <w:unhideWhenUsed/>
    <w:rsid w:val="00181835"/>
    <w:pPr>
      <w:spacing w:line="240" w:lineRule="auto"/>
    </w:pPr>
    <w:rPr>
      <w:sz w:val="20"/>
      <w:szCs w:val="20"/>
    </w:rPr>
  </w:style>
  <w:style w:type="character" w:customStyle="1" w:styleId="CommentTextChar">
    <w:name w:val="Comment Text Char"/>
    <w:basedOn w:val="DefaultParagraphFont"/>
    <w:link w:val="CommentText"/>
    <w:uiPriority w:val="99"/>
    <w:rsid w:val="00181835"/>
    <w:rPr>
      <w:sz w:val="20"/>
      <w:szCs w:val="20"/>
    </w:rPr>
  </w:style>
  <w:style w:type="paragraph" w:styleId="CommentSubject">
    <w:name w:val="annotation subject"/>
    <w:basedOn w:val="CommentText"/>
    <w:next w:val="CommentText"/>
    <w:link w:val="CommentSubjectChar"/>
    <w:uiPriority w:val="99"/>
    <w:semiHidden/>
    <w:unhideWhenUsed/>
    <w:rsid w:val="00181835"/>
    <w:rPr>
      <w:b/>
      <w:bCs/>
    </w:rPr>
  </w:style>
  <w:style w:type="character" w:customStyle="1" w:styleId="CommentSubjectChar">
    <w:name w:val="Comment Subject Char"/>
    <w:basedOn w:val="CommentTextChar"/>
    <w:link w:val="CommentSubject"/>
    <w:uiPriority w:val="99"/>
    <w:semiHidden/>
    <w:rsid w:val="00181835"/>
    <w:rPr>
      <w:b/>
      <w:bCs/>
      <w:sz w:val="20"/>
      <w:szCs w:val="20"/>
    </w:rPr>
  </w:style>
  <w:style w:type="paragraph" w:styleId="BalloonText">
    <w:name w:val="Balloon Text"/>
    <w:basedOn w:val="Normal"/>
    <w:link w:val="BalloonTextChar"/>
    <w:uiPriority w:val="99"/>
    <w:semiHidden/>
    <w:unhideWhenUsed/>
    <w:rsid w:val="0018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35"/>
    <w:rPr>
      <w:rFonts w:ascii="Segoe UI" w:hAnsi="Segoe UI" w:cs="Segoe UI"/>
      <w:sz w:val="18"/>
      <w:szCs w:val="18"/>
    </w:rPr>
  </w:style>
  <w:style w:type="paragraph" w:styleId="FootnoteText">
    <w:name w:val="footnote text"/>
    <w:basedOn w:val="Normal"/>
    <w:link w:val="FootnoteTextChar"/>
    <w:uiPriority w:val="99"/>
    <w:unhideWhenUsed/>
    <w:rsid w:val="00461FD3"/>
    <w:pPr>
      <w:spacing w:after="0" w:line="240" w:lineRule="auto"/>
    </w:pPr>
    <w:rPr>
      <w:sz w:val="20"/>
      <w:szCs w:val="20"/>
    </w:rPr>
  </w:style>
  <w:style w:type="character" w:customStyle="1" w:styleId="FootnoteTextChar">
    <w:name w:val="Footnote Text Char"/>
    <w:basedOn w:val="DefaultParagraphFont"/>
    <w:link w:val="FootnoteText"/>
    <w:uiPriority w:val="99"/>
    <w:rsid w:val="00461FD3"/>
    <w:rPr>
      <w:sz w:val="20"/>
      <w:szCs w:val="20"/>
    </w:rPr>
  </w:style>
  <w:style w:type="character" w:styleId="FootnoteReference">
    <w:name w:val="footnote reference"/>
    <w:basedOn w:val="DefaultParagraphFont"/>
    <w:uiPriority w:val="99"/>
    <w:semiHidden/>
    <w:unhideWhenUsed/>
    <w:rsid w:val="00461FD3"/>
    <w:rPr>
      <w:vertAlign w:val="superscript"/>
    </w:rPr>
  </w:style>
  <w:style w:type="table" w:styleId="TableGrid">
    <w:name w:val="Table Grid"/>
    <w:basedOn w:val="TableNormal"/>
    <w:uiPriority w:val="39"/>
    <w:rsid w:val="00783554"/>
    <w:pPr>
      <w:spacing w:after="0" w:line="240" w:lineRule="auto"/>
      <w:ind w:firstLine="708"/>
    </w:pPr>
    <w:rPr>
      <w:rFonts w:ascii="Times New Roman" w:eastAsia="Times New Roman" w:hAnsi="Times New Roman" w:cs="Times New Roman"/>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83554"/>
    <w:pPr>
      <w:spacing w:after="200" w:line="240" w:lineRule="auto"/>
      <w:ind w:firstLine="708"/>
    </w:pPr>
    <w:rPr>
      <w:rFonts w:ascii="Arial" w:eastAsia="Times New Roman" w:hAnsi="Arial" w:cs="Times New Roman"/>
      <w:i/>
      <w:iCs/>
      <w:color w:val="44546A" w:themeColor="text2"/>
      <w:sz w:val="18"/>
      <w:szCs w:val="18"/>
      <w:lang w:eastAsia="nl-NL"/>
    </w:rPr>
  </w:style>
  <w:style w:type="paragraph" w:styleId="Revision">
    <w:name w:val="Revision"/>
    <w:hidden/>
    <w:uiPriority w:val="99"/>
    <w:semiHidden/>
    <w:rsid w:val="004018BD"/>
    <w:pPr>
      <w:spacing w:after="0" w:line="240" w:lineRule="auto"/>
    </w:pPr>
  </w:style>
  <w:style w:type="character" w:customStyle="1" w:styleId="Heading1Char">
    <w:name w:val="Heading 1 Char"/>
    <w:basedOn w:val="DefaultParagraphFont"/>
    <w:link w:val="Heading1"/>
    <w:uiPriority w:val="9"/>
    <w:rsid w:val="008672A4"/>
    <w:rPr>
      <w:b/>
    </w:rPr>
  </w:style>
  <w:style w:type="character" w:customStyle="1" w:styleId="Heading2Char">
    <w:name w:val="Heading 2 Char"/>
    <w:basedOn w:val="DefaultParagraphFont"/>
    <w:link w:val="Heading2"/>
    <w:uiPriority w:val="9"/>
    <w:rsid w:val="008672A4"/>
    <w:rPr>
      <w:b/>
    </w:rPr>
  </w:style>
  <w:style w:type="character" w:customStyle="1" w:styleId="Heading3Char">
    <w:name w:val="Heading 3 Char"/>
    <w:basedOn w:val="DefaultParagraphFont"/>
    <w:link w:val="Heading3"/>
    <w:uiPriority w:val="9"/>
    <w:rsid w:val="008672A4"/>
    <w:rPr>
      <w:b/>
      <w:i/>
    </w:rPr>
  </w:style>
  <w:style w:type="paragraph" w:styleId="Bibliography">
    <w:name w:val="Bibliography"/>
    <w:basedOn w:val="Normal"/>
    <w:next w:val="Normal"/>
    <w:uiPriority w:val="37"/>
    <w:unhideWhenUsed/>
    <w:rsid w:val="0057468F"/>
    <w:pPr>
      <w:tabs>
        <w:tab w:val="left" w:pos="384"/>
      </w:tabs>
      <w:spacing w:after="240" w:line="240" w:lineRule="auto"/>
      <w:ind w:left="384" w:hanging="384"/>
    </w:pPr>
  </w:style>
  <w:style w:type="paragraph" w:styleId="NoSpacing">
    <w:name w:val="No Spacing"/>
    <w:uiPriority w:val="1"/>
    <w:qFormat/>
    <w:rsid w:val="00E923B2"/>
    <w:pPr>
      <w:spacing w:after="0" w:line="240" w:lineRule="auto"/>
      <w:ind w:firstLine="708"/>
    </w:pPr>
    <w:rPr>
      <w:rFonts w:ascii="Arial" w:eastAsia="Times New Roman" w:hAnsi="Arial" w:cs="Times New Roman"/>
      <w:sz w:val="24"/>
      <w:szCs w:val="24"/>
      <w:lang w:eastAsia="nl-NL"/>
    </w:rPr>
  </w:style>
  <w:style w:type="character" w:customStyle="1" w:styleId="UnresolvedMention1">
    <w:name w:val="Unresolved Mention1"/>
    <w:basedOn w:val="DefaultParagraphFont"/>
    <w:uiPriority w:val="99"/>
    <w:semiHidden/>
    <w:unhideWhenUsed/>
    <w:rsid w:val="00806B7E"/>
    <w:rPr>
      <w:color w:val="605E5C"/>
      <w:shd w:val="clear" w:color="auto" w:fill="E1DFDD"/>
    </w:rPr>
  </w:style>
  <w:style w:type="table" w:customStyle="1" w:styleId="TableGrid1">
    <w:name w:val="Table Grid1"/>
    <w:basedOn w:val="TableNormal"/>
    <w:next w:val="TableGrid"/>
    <w:uiPriority w:val="39"/>
    <w:rsid w:val="00C96D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D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217D4"/>
    <w:rPr>
      <w:vertAlign w:val="superscript"/>
    </w:rPr>
  </w:style>
  <w:style w:type="character" w:styleId="UnresolvedMention">
    <w:name w:val="Unresolved Mention"/>
    <w:basedOn w:val="DefaultParagraphFont"/>
    <w:uiPriority w:val="99"/>
    <w:semiHidden/>
    <w:unhideWhenUsed/>
    <w:rsid w:val="00052037"/>
    <w:rPr>
      <w:color w:val="605E5C"/>
      <w:shd w:val="clear" w:color="auto" w:fill="E1DFDD"/>
    </w:rPr>
  </w:style>
  <w:style w:type="paragraph" w:customStyle="1" w:styleId="pf0">
    <w:name w:val="pf0"/>
    <w:basedOn w:val="Normal"/>
    <w:rsid w:val="00552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52CD6"/>
    <w:rPr>
      <w:rFonts w:ascii="Segoe UI" w:hAnsi="Segoe UI" w:cs="Segoe UI" w:hint="default"/>
      <w:sz w:val="18"/>
      <w:szCs w:val="18"/>
    </w:rPr>
  </w:style>
  <w:style w:type="character" w:styleId="LineNumber">
    <w:name w:val="line number"/>
    <w:basedOn w:val="DefaultParagraphFont"/>
    <w:uiPriority w:val="99"/>
    <w:semiHidden/>
    <w:unhideWhenUsed/>
    <w:rsid w:val="00B5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1163">
      <w:bodyDiv w:val="1"/>
      <w:marLeft w:val="0"/>
      <w:marRight w:val="0"/>
      <w:marTop w:val="0"/>
      <w:marBottom w:val="0"/>
      <w:divBdr>
        <w:top w:val="none" w:sz="0" w:space="0" w:color="auto"/>
        <w:left w:val="none" w:sz="0" w:space="0" w:color="auto"/>
        <w:bottom w:val="none" w:sz="0" w:space="0" w:color="auto"/>
        <w:right w:val="none" w:sz="0" w:space="0" w:color="auto"/>
      </w:divBdr>
    </w:div>
    <w:div w:id="19760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995-224X" TargetMode="External"/><Relationship Id="rId13" Type="http://schemas.openxmlformats.org/officeDocument/2006/relationships/image" Target="media/image1.png"/><Relationship Id="rId18" Type="http://schemas.openxmlformats.org/officeDocument/2006/relationships/hyperlink" Target="https://gtr.ukri.org/projects?ref=studentship-23009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davidnickson.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ickson@warwick.ac.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orcid.org/0000-0003-0684-299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4842-365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8B6B-B4C2-4696-BC23-E04A2470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40532</Words>
  <Characters>231038</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Walasek, Lukasz</dc:creator>
  <cp:keywords/>
  <dc:description/>
  <cp:lastModifiedBy>NICKSON, DAVID (PGR)</cp:lastModifiedBy>
  <cp:revision>15</cp:revision>
  <dcterms:created xsi:type="dcterms:W3CDTF">2023-09-13T15:13:00Z</dcterms:created>
  <dcterms:modified xsi:type="dcterms:W3CDTF">2023-09-15T07:55:00Z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ZOTERO_PREF_1">
    <vt:lpwstr>&lt;data data-version="3" zotero-version="6.0.27"&gt;&lt;session id="0rbbLFcF"/&gt;&lt;style id="http://www.zotero.org/styles/vancouver" locale="en-GB" hasBibliography="1" bibliographyStyleHasBeenSet="1"/&gt;&lt;prefs&gt;&lt;pref name="fieldType" value="Field"/&gt;&lt;/prefs&gt;&lt;/data&gt;</vt:lpwstr>
  </property>
</Properties>
</file>